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5EB36" w14:textId="3533353B" w:rsidR="003F1359" w:rsidRDefault="00C44881" w:rsidP="006977C6">
      <w:pPr>
        <w:pStyle w:val="Title"/>
        <w:rPr>
          <w:sz w:val="36"/>
          <w:szCs w:val="36"/>
        </w:rPr>
      </w:pPr>
      <w:r>
        <w:rPr>
          <w:sz w:val="36"/>
          <w:szCs w:val="36"/>
        </w:rPr>
        <w:t>Policy and Procedure for</w:t>
      </w:r>
      <w:r w:rsidR="008816C0" w:rsidRPr="008816C0">
        <w:rPr>
          <w:sz w:val="36"/>
          <w:szCs w:val="36"/>
        </w:rPr>
        <w:t xml:space="preserve"> Adults with Type 2 Diabetes</w:t>
      </w:r>
      <w:r w:rsidR="008816C0">
        <w:rPr>
          <w:sz w:val="36"/>
          <w:szCs w:val="36"/>
        </w:rPr>
        <w:t xml:space="preserve"> </w:t>
      </w:r>
    </w:p>
    <w:tbl>
      <w:tblPr>
        <w:tblStyle w:val="TableGrid"/>
        <w:tblW w:w="0" w:type="auto"/>
        <w:tblLook w:val="04A0" w:firstRow="1" w:lastRow="0" w:firstColumn="1" w:lastColumn="0" w:noHBand="0" w:noVBand="1"/>
      </w:tblPr>
      <w:tblGrid>
        <w:gridCol w:w="10214"/>
      </w:tblGrid>
      <w:tr w:rsidR="00EC1D73" w14:paraId="3E674C77" w14:textId="77777777" w:rsidTr="00EC1D73">
        <w:tc>
          <w:tcPr>
            <w:tcW w:w="10214" w:type="dxa"/>
            <w:shd w:val="clear" w:color="auto" w:fill="FFFF00"/>
          </w:tcPr>
          <w:p w14:paraId="4079473D" w14:textId="77777777" w:rsidR="00EC1D73" w:rsidRPr="008F157C" w:rsidRDefault="00EC1D73" w:rsidP="00EC1D73">
            <w:pPr>
              <w:numPr>
                <w:ilvl w:val="0"/>
                <w:numId w:val="1"/>
              </w:numPr>
              <w:rPr>
                <w:rFonts w:cs="Arial"/>
              </w:rPr>
            </w:pPr>
            <w:r w:rsidRPr="008816C0">
              <w:rPr>
                <w:rFonts w:cs="Arial"/>
              </w:rPr>
              <w:t>Use this resource as a starting place or to augment your existing policies and procedures.</w:t>
            </w:r>
          </w:p>
          <w:p w14:paraId="51016AB4" w14:textId="4B9C8D0C" w:rsidR="00EC1D73" w:rsidRPr="00EC1D73" w:rsidRDefault="00EC1D73" w:rsidP="00EC1D73">
            <w:pPr>
              <w:numPr>
                <w:ilvl w:val="0"/>
                <w:numId w:val="1"/>
              </w:numPr>
              <w:rPr>
                <w:rFonts w:cs="Arial"/>
              </w:rPr>
            </w:pPr>
            <w:r>
              <w:rPr>
                <w:rFonts w:cs="Arial"/>
              </w:rPr>
              <w:t>Insert your organization-specific information where appropriate.</w:t>
            </w:r>
          </w:p>
        </w:tc>
      </w:tr>
    </w:tbl>
    <w:p w14:paraId="200E147F" w14:textId="77777777" w:rsidR="00EC1D73" w:rsidRPr="00EC1D73" w:rsidRDefault="00EC1D73" w:rsidP="00EC1D73"/>
    <w:p w14:paraId="172FAAF4" w14:textId="3324A107" w:rsidR="008816C0" w:rsidRPr="008816C0" w:rsidRDefault="008816C0" w:rsidP="008816C0"/>
    <w:p w14:paraId="371595AC" w14:textId="4D06FEA5" w:rsidR="00777467" w:rsidRPr="0074110B" w:rsidRDefault="008816C0" w:rsidP="00777467">
      <w:pPr>
        <w:rPr>
          <w:rFonts w:cs="Arial"/>
          <w:b/>
          <w:bCs/>
          <w:sz w:val="34"/>
          <w:szCs w:val="34"/>
        </w:rPr>
      </w:pPr>
      <w:r w:rsidRPr="008816C0">
        <w:rPr>
          <w:rFonts w:cs="Arial"/>
          <w:b/>
          <w:bCs/>
          <w:sz w:val="34"/>
          <w:szCs w:val="34"/>
        </w:rPr>
        <w:t>Table of Contents</w:t>
      </w:r>
    </w:p>
    <w:p w14:paraId="1BEEB60A" w14:textId="1A0F6333"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r>
        <w:rPr>
          <w:rFonts w:cs="Arial"/>
          <w:bCs w:val="0"/>
          <w:iCs w:val="0"/>
          <w:sz w:val="20"/>
          <w:szCs w:val="20"/>
        </w:rPr>
        <w:fldChar w:fldCharType="begin"/>
      </w:r>
      <w:r>
        <w:rPr>
          <w:rFonts w:cs="Arial"/>
          <w:bCs w:val="0"/>
          <w:iCs w:val="0"/>
          <w:sz w:val="20"/>
          <w:szCs w:val="20"/>
        </w:rPr>
        <w:instrText xml:space="preserve"> TOC \o "1-3" \h \z \u </w:instrText>
      </w:r>
      <w:r>
        <w:rPr>
          <w:rFonts w:cs="Arial"/>
          <w:bCs w:val="0"/>
          <w:iCs w:val="0"/>
          <w:sz w:val="20"/>
          <w:szCs w:val="20"/>
        </w:rPr>
        <w:fldChar w:fldCharType="separate"/>
      </w:r>
      <w:hyperlink w:anchor="_Toc172721797" w:history="1">
        <w:r w:rsidRPr="001223FF">
          <w:rPr>
            <w:rStyle w:val="Hyperlink"/>
            <w:rFonts w:eastAsiaTheme="majorEastAsia" w:cs="Arial"/>
            <w:noProof/>
          </w:rPr>
          <w:t>Policy</w:t>
        </w:r>
        <w:r>
          <w:rPr>
            <w:noProof/>
            <w:webHidden/>
          </w:rPr>
          <w:tab/>
        </w:r>
        <w:r>
          <w:rPr>
            <w:noProof/>
            <w:webHidden/>
          </w:rPr>
          <w:fldChar w:fldCharType="begin"/>
        </w:r>
        <w:r>
          <w:rPr>
            <w:noProof/>
            <w:webHidden/>
          </w:rPr>
          <w:instrText xml:space="preserve"> PAGEREF _Toc172721797 \h </w:instrText>
        </w:r>
        <w:r>
          <w:rPr>
            <w:noProof/>
            <w:webHidden/>
          </w:rPr>
        </w:r>
        <w:r>
          <w:rPr>
            <w:noProof/>
            <w:webHidden/>
          </w:rPr>
          <w:fldChar w:fldCharType="separate"/>
        </w:r>
        <w:r>
          <w:rPr>
            <w:noProof/>
            <w:webHidden/>
          </w:rPr>
          <w:t>1</w:t>
        </w:r>
        <w:r>
          <w:rPr>
            <w:noProof/>
            <w:webHidden/>
          </w:rPr>
          <w:fldChar w:fldCharType="end"/>
        </w:r>
      </w:hyperlink>
    </w:p>
    <w:p w14:paraId="2FCA71A1" w14:textId="1B45107A"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798" w:history="1">
        <w:r w:rsidRPr="001223FF">
          <w:rPr>
            <w:rStyle w:val="Hyperlink"/>
            <w:rFonts w:eastAsiaTheme="majorEastAsia" w:cs="Arial"/>
            <w:noProof/>
          </w:rPr>
          <w:t>Terminology</w:t>
        </w:r>
        <w:r>
          <w:rPr>
            <w:noProof/>
            <w:webHidden/>
          </w:rPr>
          <w:tab/>
        </w:r>
        <w:r>
          <w:rPr>
            <w:noProof/>
            <w:webHidden/>
          </w:rPr>
          <w:fldChar w:fldCharType="begin"/>
        </w:r>
        <w:r>
          <w:rPr>
            <w:noProof/>
            <w:webHidden/>
          </w:rPr>
          <w:instrText xml:space="preserve"> PAGEREF _Toc172721798 \h </w:instrText>
        </w:r>
        <w:r>
          <w:rPr>
            <w:noProof/>
            <w:webHidden/>
          </w:rPr>
        </w:r>
        <w:r>
          <w:rPr>
            <w:noProof/>
            <w:webHidden/>
          </w:rPr>
          <w:fldChar w:fldCharType="separate"/>
        </w:r>
        <w:r>
          <w:rPr>
            <w:noProof/>
            <w:webHidden/>
          </w:rPr>
          <w:t>3</w:t>
        </w:r>
        <w:r>
          <w:rPr>
            <w:noProof/>
            <w:webHidden/>
          </w:rPr>
          <w:fldChar w:fldCharType="end"/>
        </w:r>
      </w:hyperlink>
    </w:p>
    <w:p w14:paraId="0475F8B8" w14:textId="2DFEC913"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799" w:history="1">
        <w:r w:rsidRPr="001223FF">
          <w:rPr>
            <w:rStyle w:val="Hyperlink"/>
            <w:rFonts w:eastAsiaTheme="majorEastAsia" w:cs="Arial"/>
            <w:noProof/>
          </w:rPr>
          <w:t>Population Health Management and Support</w:t>
        </w:r>
        <w:r>
          <w:rPr>
            <w:noProof/>
            <w:webHidden/>
          </w:rPr>
          <w:tab/>
        </w:r>
        <w:r>
          <w:rPr>
            <w:noProof/>
            <w:webHidden/>
          </w:rPr>
          <w:fldChar w:fldCharType="begin"/>
        </w:r>
        <w:r>
          <w:rPr>
            <w:noProof/>
            <w:webHidden/>
          </w:rPr>
          <w:instrText xml:space="preserve"> PAGEREF _Toc172721799 \h </w:instrText>
        </w:r>
        <w:r>
          <w:rPr>
            <w:noProof/>
            <w:webHidden/>
          </w:rPr>
        </w:r>
        <w:r>
          <w:rPr>
            <w:noProof/>
            <w:webHidden/>
          </w:rPr>
          <w:fldChar w:fldCharType="separate"/>
        </w:r>
        <w:r>
          <w:rPr>
            <w:noProof/>
            <w:webHidden/>
          </w:rPr>
          <w:t>3</w:t>
        </w:r>
        <w:r>
          <w:rPr>
            <w:noProof/>
            <w:webHidden/>
          </w:rPr>
          <w:fldChar w:fldCharType="end"/>
        </w:r>
      </w:hyperlink>
    </w:p>
    <w:p w14:paraId="3CD36C68" w14:textId="3336B312" w:rsidR="00024C70" w:rsidRDefault="00024C70">
      <w:pPr>
        <w:pStyle w:val="TOC2"/>
        <w:tabs>
          <w:tab w:val="right" w:leader="dot" w:pos="10214"/>
        </w:tabs>
        <w:rPr>
          <w:rFonts w:asciiTheme="minorHAnsi" w:eastAsiaTheme="minorEastAsia" w:hAnsiTheme="minorHAnsi" w:cstheme="minorBidi"/>
          <w:bCs w:val="0"/>
          <w:noProof/>
          <w:kern w:val="2"/>
          <w:sz w:val="24"/>
          <w:szCs w:val="24"/>
          <w14:ligatures w14:val="standardContextual"/>
        </w:rPr>
      </w:pPr>
      <w:hyperlink w:anchor="_Toc172721800" w:history="1">
        <w:r w:rsidRPr="001223FF">
          <w:rPr>
            <w:rStyle w:val="Hyperlink"/>
            <w:rFonts w:eastAsiaTheme="majorEastAsia"/>
            <w:noProof/>
          </w:rPr>
          <w:t>In Reach - Pre-visit Planning</w:t>
        </w:r>
        <w:r>
          <w:rPr>
            <w:noProof/>
            <w:webHidden/>
          </w:rPr>
          <w:tab/>
        </w:r>
        <w:r>
          <w:rPr>
            <w:noProof/>
            <w:webHidden/>
          </w:rPr>
          <w:fldChar w:fldCharType="begin"/>
        </w:r>
        <w:r>
          <w:rPr>
            <w:noProof/>
            <w:webHidden/>
          </w:rPr>
          <w:instrText xml:space="preserve"> PAGEREF _Toc172721800 \h </w:instrText>
        </w:r>
        <w:r>
          <w:rPr>
            <w:noProof/>
            <w:webHidden/>
          </w:rPr>
        </w:r>
        <w:r>
          <w:rPr>
            <w:noProof/>
            <w:webHidden/>
          </w:rPr>
          <w:fldChar w:fldCharType="separate"/>
        </w:r>
        <w:r>
          <w:rPr>
            <w:noProof/>
            <w:webHidden/>
          </w:rPr>
          <w:t>3</w:t>
        </w:r>
        <w:r>
          <w:rPr>
            <w:noProof/>
            <w:webHidden/>
          </w:rPr>
          <w:fldChar w:fldCharType="end"/>
        </w:r>
      </w:hyperlink>
    </w:p>
    <w:p w14:paraId="15F2A927" w14:textId="07905A0A" w:rsidR="00024C70" w:rsidRDefault="00024C70">
      <w:pPr>
        <w:pStyle w:val="TOC2"/>
        <w:tabs>
          <w:tab w:val="right" w:leader="dot" w:pos="10214"/>
        </w:tabs>
        <w:rPr>
          <w:rFonts w:asciiTheme="minorHAnsi" w:eastAsiaTheme="minorEastAsia" w:hAnsiTheme="minorHAnsi" w:cstheme="minorBidi"/>
          <w:bCs w:val="0"/>
          <w:noProof/>
          <w:kern w:val="2"/>
          <w:sz w:val="24"/>
          <w:szCs w:val="24"/>
          <w14:ligatures w14:val="standardContextual"/>
        </w:rPr>
      </w:pPr>
      <w:hyperlink w:anchor="_Toc172721801" w:history="1">
        <w:r w:rsidRPr="001223FF">
          <w:rPr>
            <w:rStyle w:val="Hyperlink"/>
            <w:rFonts w:eastAsiaTheme="majorEastAsia"/>
            <w:noProof/>
          </w:rPr>
          <w:t>Outreach for Reminders</w:t>
        </w:r>
        <w:r>
          <w:rPr>
            <w:noProof/>
            <w:webHidden/>
          </w:rPr>
          <w:tab/>
        </w:r>
        <w:r>
          <w:rPr>
            <w:noProof/>
            <w:webHidden/>
          </w:rPr>
          <w:fldChar w:fldCharType="begin"/>
        </w:r>
        <w:r>
          <w:rPr>
            <w:noProof/>
            <w:webHidden/>
          </w:rPr>
          <w:instrText xml:space="preserve"> PAGEREF _Toc172721801 \h </w:instrText>
        </w:r>
        <w:r>
          <w:rPr>
            <w:noProof/>
            <w:webHidden/>
          </w:rPr>
        </w:r>
        <w:r>
          <w:rPr>
            <w:noProof/>
            <w:webHidden/>
          </w:rPr>
          <w:fldChar w:fldCharType="separate"/>
        </w:r>
        <w:r>
          <w:rPr>
            <w:noProof/>
            <w:webHidden/>
          </w:rPr>
          <w:t>3</w:t>
        </w:r>
        <w:r>
          <w:rPr>
            <w:noProof/>
            <w:webHidden/>
          </w:rPr>
          <w:fldChar w:fldCharType="end"/>
        </w:r>
      </w:hyperlink>
    </w:p>
    <w:p w14:paraId="194FE8B4" w14:textId="6B1E5BD1" w:rsidR="00024C70" w:rsidRDefault="00024C70">
      <w:pPr>
        <w:pStyle w:val="TOC2"/>
        <w:tabs>
          <w:tab w:val="right" w:leader="dot" w:pos="10214"/>
        </w:tabs>
        <w:rPr>
          <w:rFonts w:asciiTheme="minorHAnsi" w:eastAsiaTheme="minorEastAsia" w:hAnsiTheme="minorHAnsi" w:cstheme="minorBidi"/>
          <w:bCs w:val="0"/>
          <w:noProof/>
          <w:kern w:val="2"/>
          <w:sz w:val="24"/>
          <w:szCs w:val="24"/>
          <w14:ligatures w14:val="standardContextual"/>
        </w:rPr>
      </w:pPr>
      <w:hyperlink w:anchor="_Toc172721802" w:history="1">
        <w:r w:rsidRPr="001223FF">
          <w:rPr>
            <w:rStyle w:val="Hyperlink"/>
            <w:rFonts w:eastAsiaTheme="majorEastAsia"/>
            <w:noProof/>
          </w:rPr>
          <w:t>Our Reach</w:t>
        </w:r>
        <w:r>
          <w:rPr>
            <w:noProof/>
            <w:webHidden/>
          </w:rPr>
          <w:tab/>
        </w:r>
        <w:r>
          <w:rPr>
            <w:noProof/>
            <w:webHidden/>
          </w:rPr>
          <w:fldChar w:fldCharType="begin"/>
        </w:r>
        <w:r>
          <w:rPr>
            <w:noProof/>
            <w:webHidden/>
          </w:rPr>
          <w:instrText xml:space="preserve"> PAGEREF _Toc172721802 \h </w:instrText>
        </w:r>
        <w:r>
          <w:rPr>
            <w:noProof/>
            <w:webHidden/>
          </w:rPr>
        </w:r>
        <w:r>
          <w:rPr>
            <w:noProof/>
            <w:webHidden/>
          </w:rPr>
          <w:fldChar w:fldCharType="separate"/>
        </w:r>
        <w:r>
          <w:rPr>
            <w:noProof/>
            <w:webHidden/>
          </w:rPr>
          <w:t>3</w:t>
        </w:r>
        <w:r>
          <w:rPr>
            <w:noProof/>
            <w:webHidden/>
          </w:rPr>
          <w:fldChar w:fldCharType="end"/>
        </w:r>
      </w:hyperlink>
    </w:p>
    <w:p w14:paraId="299F0953" w14:textId="22369F5D" w:rsidR="00024C70" w:rsidRDefault="00024C70">
      <w:pPr>
        <w:pStyle w:val="TOC2"/>
        <w:tabs>
          <w:tab w:val="right" w:leader="dot" w:pos="10214"/>
        </w:tabs>
        <w:rPr>
          <w:rFonts w:asciiTheme="minorHAnsi" w:eastAsiaTheme="minorEastAsia" w:hAnsiTheme="minorHAnsi" w:cstheme="minorBidi"/>
          <w:bCs w:val="0"/>
          <w:noProof/>
          <w:kern w:val="2"/>
          <w:sz w:val="24"/>
          <w:szCs w:val="24"/>
          <w14:ligatures w14:val="standardContextual"/>
        </w:rPr>
      </w:pPr>
      <w:hyperlink w:anchor="_Toc172721803" w:history="1">
        <w:r w:rsidRPr="001223FF">
          <w:rPr>
            <w:rStyle w:val="Hyperlink"/>
            <w:rFonts w:eastAsiaTheme="majorEastAsia"/>
            <w:noProof/>
          </w:rPr>
          <w:t>Diabetes Self-Management Education and Support (DSMES)</w:t>
        </w:r>
        <w:r>
          <w:rPr>
            <w:noProof/>
            <w:webHidden/>
          </w:rPr>
          <w:tab/>
        </w:r>
        <w:r>
          <w:rPr>
            <w:noProof/>
            <w:webHidden/>
          </w:rPr>
          <w:fldChar w:fldCharType="begin"/>
        </w:r>
        <w:r>
          <w:rPr>
            <w:noProof/>
            <w:webHidden/>
          </w:rPr>
          <w:instrText xml:space="preserve"> PAGEREF _Toc172721803 \h </w:instrText>
        </w:r>
        <w:r>
          <w:rPr>
            <w:noProof/>
            <w:webHidden/>
          </w:rPr>
        </w:r>
        <w:r>
          <w:rPr>
            <w:noProof/>
            <w:webHidden/>
          </w:rPr>
          <w:fldChar w:fldCharType="separate"/>
        </w:r>
        <w:r>
          <w:rPr>
            <w:noProof/>
            <w:webHidden/>
          </w:rPr>
          <w:t>4</w:t>
        </w:r>
        <w:r>
          <w:rPr>
            <w:noProof/>
            <w:webHidden/>
          </w:rPr>
          <w:fldChar w:fldCharType="end"/>
        </w:r>
      </w:hyperlink>
    </w:p>
    <w:p w14:paraId="55357703" w14:textId="15416F0C"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4" w:history="1">
        <w:r w:rsidRPr="001223FF">
          <w:rPr>
            <w:rStyle w:val="Hyperlink"/>
            <w:rFonts w:eastAsiaTheme="majorEastAsia"/>
            <w:noProof/>
          </w:rPr>
          <w:t>Risk Stratification and Individualized Treatment Plans</w:t>
        </w:r>
        <w:r>
          <w:rPr>
            <w:noProof/>
            <w:webHidden/>
          </w:rPr>
          <w:tab/>
        </w:r>
        <w:r>
          <w:rPr>
            <w:noProof/>
            <w:webHidden/>
          </w:rPr>
          <w:fldChar w:fldCharType="begin"/>
        </w:r>
        <w:r>
          <w:rPr>
            <w:noProof/>
            <w:webHidden/>
          </w:rPr>
          <w:instrText xml:space="preserve"> PAGEREF _Toc172721804 \h </w:instrText>
        </w:r>
        <w:r>
          <w:rPr>
            <w:noProof/>
            <w:webHidden/>
          </w:rPr>
        </w:r>
        <w:r>
          <w:rPr>
            <w:noProof/>
            <w:webHidden/>
          </w:rPr>
          <w:fldChar w:fldCharType="separate"/>
        </w:r>
        <w:r>
          <w:rPr>
            <w:noProof/>
            <w:webHidden/>
          </w:rPr>
          <w:t>4</w:t>
        </w:r>
        <w:r>
          <w:rPr>
            <w:noProof/>
            <w:webHidden/>
          </w:rPr>
          <w:fldChar w:fldCharType="end"/>
        </w:r>
      </w:hyperlink>
    </w:p>
    <w:p w14:paraId="7F23A153" w14:textId="0E239AAC"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5" w:history="1">
        <w:r w:rsidRPr="001223FF">
          <w:rPr>
            <w:rStyle w:val="Hyperlink"/>
            <w:rFonts w:eastAsiaTheme="majorEastAsia"/>
            <w:noProof/>
          </w:rPr>
          <w:t>Health-Related Social Needs</w:t>
        </w:r>
        <w:r>
          <w:rPr>
            <w:noProof/>
            <w:webHidden/>
          </w:rPr>
          <w:tab/>
        </w:r>
        <w:r>
          <w:rPr>
            <w:noProof/>
            <w:webHidden/>
          </w:rPr>
          <w:fldChar w:fldCharType="begin"/>
        </w:r>
        <w:r>
          <w:rPr>
            <w:noProof/>
            <w:webHidden/>
          </w:rPr>
          <w:instrText xml:space="preserve"> PAGEREF _Toc172721805 \h </w:instrText>
        </w:r>
        <w:r>
          <w:rPr>
            <w:noProof/>
            <w:webHidden/>
          </w:rPr>
        </w:r>
        <w:r>
          <w:rPr>
            <w:noProof/>
            <w:webHidden/>
          </w:rPr>
          <w:fldChar w:fldCharType="separate"/>
        </w:r>
        <w:r>
          <w:rPr>
            <w:noProof/>
            <w:webHidden/>
          </w:rPr>
          <w:t>4</w:t>
        </w:r>
        <w:r>
          <w:rPr>
            <w:noProof/>
            <w:webHidden/>
          </w:rPr>
          <w:fldChar w:fldCharType="end"/>
        </w:r>
      </w:hyperlink>
    </w:p>
    <w:p w14:paraId="14F0FB4B" w14:textId="0397A6D1"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6" w:history="1">
        <w:r w:rsidRPr="001223FF">
          <w:rPr>
            <w:rStyle w:val="Hyperlink"/>
            <w:rFonts w:eastAsiaTheme="majorEastAsia"/>
            <w:noProof/>
          </w:rPr>
          <w:t>Therapeutic Inertia</w:t>
        </w:r>
        <w:r>
          <w:rPr>
            <w:noProof/>
            <w:webHidden/>
          </w:rPr>
          <w:tab/>
        </w:r>
        <w:r>
          <w:rPr>
            <w:noProof/>
            <w:webHidden/>
          </w:rPr>
          <w:fldChar w:fldCharType="begin"/>
        </w:r>
        <w:r>
          <w:rPr>
            <w:noProof/>
            <w:webHidden/>
          </w:rPr>
          <w:instrText xml:space="preserve"> PAGEREF _Toc172721806 \h </w:instrText>
        </w:r>
        <w:r>
          <w:rPr>
            <w:noProof/>
            <w:webHidden/>
          </w:rPr>
        </w:r>
        <w:r>
          <w:rPr>
            <w:noProof/>
            <w:webHidden/>
          </w:rPr>
          <w:fldChar w:fldCharType="separate"/>
        </w:r>
        <w:r>
          <w:rPr>
            <w:noProof/>
            <w:webHidden/>
          </w:rPr>
          <w:t>5</w:t>
        </w:r>
        <w:r>
          <w:rPr>
            <w:noProof/>
            <w:webHidden/>
          </w:rPr>
          <w:fldChar w:fldCharType="end"/>
        </w:r>
      </w:hyperlink>
    </w:p>
    <w:p w14:paraId="7BE535BF" w14:textId="52AF6780"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7" w:history="1">
        <w:r w:rsidRPr="001223FF">
          <w:rPr>
            <w:rStyle w:val="Hyperlink"/>
            <w:rFonts w:eastAsiaTheme="majorEastAsia" w:cs="Arial"/>
            <w:noProof/>
          </w:rPr>
          <w:t>Before the Visit</w:t>
        </w:r>
        <w:r>
          <w:rPr>
            <w:noProof/>
            <w:webHidden/>
          </w:rPr>
          <w:tab/>
        </w:r>
        <w:r>
          <w:rPr>
            <w:noProof/>
            <w:webHidden/>
          </w:rPr>
          <w:fldChar w:fldCharType="begin"/>
        </w:r>
        <w:r>
          <w:rPr>
            <w:noProof/>
            <w:webHidden/>
          </w:rPr>
          <w:instrText xml:space="preserve"> PAGEREF _Toc172721807 \h </w:instrText>
        </w:r>
        <w:r>
          <w:rPr>
            <w:noProof/>
            <w:webHidden/>
          </w:rPr>
        </w:r>
        <w:r>
          <w:rPr>
            <w:noProof/>
            <w:webHidden/>
          </w:rPr>
          <w:fldChar w:fldCharType="separate"/>
        </w:r>
        <w:r>
          <w:rPr>
            <w:noProof/>
            <w:webHidden/>
          </w:rPr>
          <w:t>5</w:t>
        </w:r>
        <w:r>
          <w:rPr>
            <w:noProof/>
            <w:webHidden/>
          </w:rPr>
          <w:fldChar w:fldCharType="end"/>
        </w:r>
      </w:hyperlink>
    </w:p>
    <w:p w14:paraId="234BE7DC" w14:textId="278314E2"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8" w:history="1">
        <w:r w:rsidRPr="001223FF">
          <w:rPr>
            <w:rStyle w:val="Hyperlink"/>
            <w:rFonts w:eastAsiaTheme="majorEastAsia" w:cs="Arial"/>
            <w:noProof/>
          </w:rPr>
          <w:t>During the Visit</w:t>
        </w:r>
        <w:r>
          <w:rPr>
            <w:noProof/>
            <w:webHidden/>
          </w:rPr>
          <w:tab/>
        </w:r>
        <w:r>
          <w:rPr>
            <w:noProof/>
            <w:webHidden/>
          </w:rPr>
          <w:fldChar w:fldCharType="begin"/>
        </w:r>
        <w:r>
          <w:rPr>
            <w:noProof/>
            <w:webHidden/>
          </w:rPr>
          <w:instrText xml:space="preserve"> PAGEREF _Toc172721808 \h </w:instrText>
        </w:r>
        <w:r>
          <w:rPr>
            <w:noProof/>
            <w:webHidden/>
          </w:rPr>
        </w:r>
        <w:r>
          <w:rPr>
            <w:noProof/>
            <w:webHidden/>
          </w:rPr>
          <w:fldChar w:fldCharType="separate"/>
        </w:r>
        <w:r>
          <w:rPr>
            <w:noProof/>
            <w:webHidden/>
          </w:rPr>
          <w:t>6</w:t>
        </w:r>
        <w:r>
          <w:rPr>
            <w:noProof/>
            <w:webHidden/>
          </w:rPr>
          <w:fldChar w:fldCharType="end"/>
        </w:r>
      </w:hyperlink>
    </w:p>
    <w:p w14:paraId="320AA5FC" w14:textId="1958A990"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09" w:history="1">
        <w:r w:rsidRPr="001223FF">
          <w:rPr>
            <w:rStyle w:val="Hyperlink"/>
            <w:rFonts w:eastAsiaTheme="majorEastAsia" w:cs="Arial"/>
            <w:noProof/>
          </w:rPr>
          <w:t>Between Visits for all People with T2D</w:t>
        </w:r>
        <w:r>
          <w:rPr>
            <w:noProof/>
            <w:webHidden/>
          </w:rPr>
          <w:tab/>
        </w:r>
        <w:r>
          <w:rPr>
            <w:noProof/>
            <w:webHidden/>
          </w:rPr>
          <w:fldChar w:fldCharType="begin"/>
        </w:r>
        <w:r>
          <w:rPr>
            <w:noProof/>
            <w:webHidden/>
          </w:rPr>
          <w:instrText xml:space="preserve"> PAGEREF _Toc172721809 \h </w:instrText>
        </w:r>
        <w:r>
          <w:rPr>
            <w:noProof/>
            <w:webHidden/>
          </w:rPr>
        </w:r>
        <w:r>
          <w:rPr>
            <w:noProof/>
            <w:webHidden/>
          </w:rPr>
          <w:fldChar w:fldCharType="separate"/>
        </w:r>
        <w:r>
          <w:rPr>
            <w:noProof/>
            <w:webHidden/>
          </w:rPr>
          <w:t>8</w:t>
        </w:r>
        <w:r>
          <w:rPr>
            <w:noProof/>
            <w:webHidden/>
          </w:rPr>
          <w:fldChar w:fldCharType="end"/>
        </w:r>
      </w:hyperlink>
    </w:p>
    <w:p w14:paraId="5D8E7DD3" w14:textId="7671A9D8" w:rsidR="00024C70" w:rsidRDefault="00024C70">
      <w:pPr>
        <w:pStyle w:val="TOC1"/>
        <w:tabs>
          <w:tab w:val="right" w:leader="dot" w:pos="10214"/>
        </w:tabs>
        <w:rPr>
          <w:rFonts w:asciiTheme="minorHAnsi" w:eastAsiaTheme="minorEastAsia" w:hAnsiTheme="minorHAnsi" w:cstheme="minorBidi"/>
          <w:bCs w:val="0"/>
          <w:iCs w:val="0"/>
          <w:noProof/>
          <w:kern w:val="2"/>
          <w14:ligatures w14:val="standardContextual"/>
        </w:rPr>
      </w:pPr>
      <w:hyperlink w:anchor="_Toc172721810" w:history="1">
        <w:r w:rsidRPr="001223FF">
          <w:rPr>
            <w:rStyle w:val="Hyperlink"/>
            <w:rFonts w:eastAsiaTheme="majorEastAsia"/>
            <w:noProof/>
          </w:rPr>
          <w:t>Quality Improvement Strategy</w:t>
        </w:r>
        <w:r>
          <w:rPr>
            <w:noProof/>
            <w:webHidden/>
          </w:rPr>
          <w:tab/>
        </w:r>
        <w:r>
          <w:rPr>
            <w:noProof/>
            <w:webHidden/>
          </w:rPr>
          <w:fldChar w:fldCharType="begin"/>
        </w:r>
        <w:r>
          <w:rPr>
            <w:noProof/>
            <w:webHidden/>
          </w:rPr>
          <w:instrText xml:space="preserve"> PAGEREF _Toc172721810 \h </w:instrText>
        </w:r>
        <w:r>
          <w:rPr>
            <w:noProof/>
            <w:webHidden/>
          </w:rPr>
        </w:r>
        <w:r>
          <w:rPr>
            <w:noProof/>
            <w:webHidden/>
          </w:rPr>
          <w:fldChar w:fldCharType="separate"/>
        </w:r>
        <w:r>
          <w:rPr>
            <w:noProof/>
            <w:webHidden/>
          </w:rPr>
          <w:t>9</w:t>
        </w:r>
        <w:r>
          <w:rPr>
            <w:noProof/>
            <w:webHidden/>
          </w:rPr>
          <w:fldChar w:fldCharType="end"/>
        </w:r>
      </w:hyperlink>
    </w:p>
    <w:p w14:paraId="487DEDA8" w14:textId="3E7DFA38" w:rsidR="00777467" w:rsidRPr="00777467" w:rsidRDefault="00024C70" w:rsidP="00777467">
      <w:pPr>
        <w:rPr>
          <w:rFonts w:cs="Arial"/>
          <w:b/>
          <w:bCs/>
          <w:sz w:val="34"/>
          <w:szCs w:val="34"/>
        </w:rPr>
      </w:pPr>
      <w:r>
        <w:rPr>
          <w:rFonts w:cs="Arial"/>
          <w:bCs/>
          <w:iCs/>
          <w:sz w:val="20"/>
          <w:szCs w:val="20"/>
        </w:rPr>
        <w:fldChar w:fldCharType="end"/>
      </w:r>
    </w:p>
    <w:p w14:paraId="54B070F8" w14:textId="7E754291" w:rsidR="008816C0" w:rsidRDefault="008816C0" w:rsidP="008053D7">
      <w:pPr>
        <w:pStyle w:val="Heading1"/>
        <w:rPr>
          <w:rFonts w:cs="Arial"/>
        </w:rPr>
      </w:pPr>
      <w:bookmarkStart w:id="0" w:name="_Toc172721040"/>
      <w:bookmarkStart w:id="1" w:name="_Toc172721797"/>
      <w:bookmarkStart w:id="2" w:name="_Toc165901474"/>
      <w:r>
        <w:rPr>
          <w:rFonts w:cs="Arial"/>
        </w:rPr>
        <w:t>Policy</w:t>
      </w:r>
      <w:bookmarkEnd w:id="0"/>
      <w:bookmarkEnd w:id="1"/>
    </w:p>
    <w:p w14:paraId="3A2CD6B9" w14:textId="1AAA421E" w:rsidR="008816C0" w:rsidRDefault="008816C0" w:rsidP="008816C0">
      <w:pPr>
        <w:rPr>
          <w:rFonts w:cs="Arial"/>
        </w:rPr>
      </w:pPr>
      <w:r>
        <w:t xml:space="preserve">Our policy at </w:t>
      </w:r>
      <w:r w:rsidRPr="008816C0">
        <w:rPr>
          <w:highlight w:val="yellow"/>
        </w:rPr>
        <w:t>Clinic Name</w:t>
      </w:r>
      <w:r>
        <w:t xml:space="preserve"> is to deliver healthcare services for adults with type 2 diabetes (T2D) that are concordant with the most current guidelines and recommendations as published by the American Diabetes Association (ADA) and/or the </w:t>
      </w:r>
      <w:r>
        <w:rPr>
          <w:rFonts w:cs="Arial"/>
        </w:rPr>
        <w:t>American Association of Clinical Endocrinology (AACE) and others as appropriate.</w:t>
      </w:r>
    </w:p>
    <w:p w14:paraId="436D69BB" w14:textId="77777777" w:rsidR="003D6D2B" w:rsidRDefault="003D6D2B" w:rsidP="008816C0">
      <w:pPr>
        <w:rPr>
          <w:rFonts w:cs="Arial"/>
        </w:rPr>
      </w:pPr>
    </w:p>
    <w:p w14:paraId="6ECC699F" w14:textId="77777777" w:rsidR="0074110B" w:rsidRDefault="0074110B">
      <w:pPr>
        <w:spacing w:after="160" w:line="259" w:lineRule="auto"/>
        <w:rPr>
          <w:rFonts w:cs="Arial"/>
          <w:b/>
          <w:bCs/>
        </w:rPr>
      </w:pPr>
      <w:r>
        <w:rPr>
          <w:rFonts w:cs="Arial"/>
          <w:b/>
          <w:bCs/>
        </w:rPr>
        <w:br w:type="page"/>
      </w:r>
    </w:p>
    <w:p w14:paraId="6526CAA5" w14:textId="0911112C" w:rsidR="003D6D2B" w:rsidRDefault="003D6D2B" w:rsidP="008816C0">
      <w:pPr>
        <w:rPr>
          <w:rFonts w:cs="Arial"/>
          <w:b/>
          <w:bCs/>
        </w:rPr>
      </w:pPr>
      <w:r w:rsidRPr="003D6D2B">
        <w:rPr>
          <w:rFonts w:cs="Arial"/>
          <w:b/>
          <w:bCs/>
        </w:rPr>
        <w:t>The Quintuple Aim</w:t>
      </w:r>
    </w:p>
    <w:p w14:paraId="2E494061" w14:textId="77777777" w:rsidR="003D6D2B" w:rsidRDefault="003D6D2B" w:rsidP="008816C0">
      <w:pPr>
        <w:rPr>
          <w:rFonts w:cs="Arial"/>
          <w:b/>
          <w:bCs/>
        </w:rPr>
      </w:pPr>
    </w:p>
    <w:p w14:paraId="2CFA1029" w14:textId="104AB795" w:rsidR="003D6D2B" w:rsidRPr="003D6D2B" w:rsidRDefault="003D6D2B" w:rsidP="008816C0">
      <w:pPr>
        <w:rPr>
          <w:rFonts w:cs="Arial"/>
        </w:rPr>
      </w:pPr>
      <w:r w:rsidRPr="008816C0">
        <w:rPr>
          <w:noProof/>
        </w:rPr>
        <w:drawing>
          <wp:anchor distT="0" distB="0" distL="114300" distR="114300" simplePos="0" relativeHeight="251658245" behindDoc="0" locked="0" layoutInCell="1" allowOverlap="1" wp14:anchorId="1D719BEF" wp14:editId="13094673">
            <wp:simplePos x="0" y="0"/>
            <wp:positionH relativeFrom="margin">
              <wp:align>center</wp:align>
            </wp:positionH>
            <wp:positionV relativeFrom="paragraph">
              <wp:posOffset>177165</wp:posOffset>
            </wp:positionV>
            <wp:extent cx="4663440" cy="1367015"/>
            <wp:effectExtent l="0" t="0" r="0" b="5080"/>
            <wp:wrapSquare wrapText="bothSides"/>
            <wp:docPr id="374078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78143" name=""/>
                    <pic:cNvPicPr/>
                  </pic:nvPicPr>
                  <pic:blipFill>
                    <a:blip r:embed="rId11"/>
                    <a:stretch>
                      <a:fillRect/>
                    </a:stretch>
                  </pic:blipFill>
                  <pic:spPr>
                    <a:xfrm>
                      <a:off x="0" y="0"/>
                      <a:ext cx="4663440" cy="1367015"/>
                    </a:xfrm>
                    <a:prstGeom prst="rect">
                      <a:avLst/>
                    </a:prstGeom>
                  </pic:spPr>
                </pic:pic>
              </a:graphicData>
            </a:graphic>
            <wp14:sizeRelH relativeFrom="page">
              <wp14:pctWidth>0</wp14:pctWidth>
            </wp14:sizeRelH>
            <wp14:sizeRelV relativeFrom="page">
              <wp14:pctHeight>0</wp14:pctHeight>
            </wp14:sizeRelV>
          </wp:anchor>
        </w:drawing>
      </w:r>
    </w:p>
    <w:p w14:paraId="5F0E6675" w14:textId="77777777" w:rsidR="008816C0" w:rsidRDefault="008816C0" w:rsidP="008816C0">
      <w:pPr>
        <w:rPr>
          <w:rFonts w:cs="Arial"/>
        </w:rPr>
      </w:pPr>
    </w:p>
    <w:p w14:paraId="0BCC4490" w14:textId="77777777" w:rsidR="003D6D2B" w:rsidRDefault="003D6D2B" w:rsidP="008816C0"/>
    <w:p w14:paraId="5A3E5BCF" w14:textId="77777777" w:rsidR="003D6D2B" w:rsidRDefault="003D6D2B" w:rsidP="008816C0"/>
    <w:p w14:paraId="47C97575" w14:textId="77777777" w:rsidR="003D6D2B" w:rsidRDefault="003D6D2B" w:rsidP="008816C0"/>
    <w:p w14:paraId="5C2EEDC7" w14:textId="77777777" w:rsidR="003D6D2B" w:rsidRDefault="003D6D2B" w:rsidP="008816C0"/>
    <w:p w14:paraId="27B7BD5A" w14:textId="77777777" w:rsidR="003D6D2B" w:rsidRDefault="003D6D2B" w:rsidP="008816C0"/>
    <w:p w14:paraId="34D0019E" w14:textId="77777777" w:rsidR="003D6D2B" w:rsidRDefault="003D6D2B" w:rsidP="008816C0"/>
    <w:p w14:paraId="2656B92B" w14:textId="77777777" w:rsidR="003D6D2B" w:rsidRDefault="003D6D2B" w:rsidP="008816C0"/>
    <w:p w14:paraId="71EFAE94" w14:textId="77777777" w:rsidR="003D6D2B" w:rsidRDefault="003D6D2B" w:rsidP="008816C0"/>
    <w:p w14:paraId="58CC894A" w14:textId="680A65C9" w:rsidR="008816C0" w:rsidRPr="008718C4" w:rsidRDefault="008816C0" w:rsidP="008816C0">
      <w:r w:rsidRPr="008718C4">
        <w:t>By leveraging high functioning, interprofessional care teams we deliver person-centered collaborative care to all patients. Additionally, we seek to achieve the quintuple aim</w:t>
      </w:r>
      <w:r w:rsidR="00312343" w:rsidRPr="008718C4">
        <w:t xml:space="preserve"> by</w:t>
      </w:r>
      <w:r w:rsidRPr="008718C4">
        <w:rPr>
          <w:rStyle w:val="FootnoteReference"/>
        </w:rPr>
        <w:footnoteReference w:id="2"/>
      </w:r>
      <w:r w:rsidRPr="008718C4">
        <w:rPr>
          <w:vertAlign w:val="superscript"/>
        </w:rPr>
        <w:t>,</w:t>
      </w:r>
      <w:r w:rsidRPr="008718C4">
        <w:rPr>
          <w:rStyle w:val="FootnoteReference"/>
        </w:rPr>
        <w:footnoteReference w:id="3"/>
      </w:r>
      <w:r w:rsidRPr="008718C4">
        <w:t>:</w:t>
      </w:r>
    </w:p>
    <w:p w14:paraId="26657329" w14:textId="3634C49A" w:rsidR="008816C0" w:rsidRPr="008718C4" w:rsidRDefault="008816C0" w:rsidP="008816C0">
      <w:pPr>
        <w:pStyle w:val="ListParagraph"/>
        <w:numPr>
          <w:ilvl w:val="0"/>
          <w:numId w:val="21"/>
        </w:numPr>
        <w:rPr>
          <w:sz w:val="24"/>
          <w:szCs w:val="24"/>
        </w:rPr>
      </w:pPr>
      <w:r w:rsidRPr="008718C4">
        <w:rPr>
          <w:sz w:val="24"/>
          <w:szCs w:val="24"/>
        </w:rPr>
        <w:t>Improving patient physical and mental health outcomes</w:t>
      </w:r>
      <w:r w:rsidR="00C44881" w:rsidRPr="008718C4">
        <w:rPr>
          <w:sz w:val="24"/>
          <w:szCs w:val="24"/>
        </w:rPr>
        <w:t xml:space="preserve"> by providing guideline-concordant care for diabetes and other chronic conditions, reducing risk of diabetes sequelae through appropriate treatment and screening, supporting and referring patients for well-being and respecting that they are the experts of them.</w:t>
      </w:r>
    </w:p>
    <w:p w14:paraId="03F228C2" w14:textId="46A951E6" w:rsidR="008816C0" w:rsidRPr="008718C4" w:rsidRDefault="008816C0" w:rsidP="008816C0">
      <w:pPr>
        <w:pStyle w:val="ListParagraph"/>
        <w:numPr>
          <w:ilvl w:val="0"/>
          <w:numId w:val="21"/>
        </w:numPr>
        <w:rPr>
          <w:sz w:val="24"/>
          <w:szCs w:val="24"/>
        </w:rPr>
      </w:pPr>
      <w:r w:rsidRPr="008718C4">
        <w:rPr>
          <w:sz w:val="24"/>
          <w:szCs w:val="24"/>
        </w:rPr>
        <w:t>Enhancing the patient experience</w:t>
      </w:r>
      <w:r w:rsidR="00C44881" w:rsidRPr="008718C4">
        <w:rPr>
          <w:sz w:val="24"/>
          <w:szCs w:val="24"/>
        </w:rPr>
        <w:t xml:space="preserve"> through diligently improving based on patient, family and staff feedback, by providing exemplar</w:t>
      </w:r>
      <w:r w:rsidR="00024C70">
        <w:rPr>
          <w:sz w:val="24"/>
          <w:szCs w:val="24"/>
        </w:rPr>
        <w:t>y</w:t>
      </w:r>
      <w:r w:rsidR="00C44881" w:rsidRPr="008718C4">
        <w:rPr>
          <w:sz w:val="24"/>
          <w:szCs w:val="24"/>
        </w:rPr>
        <w:t xml:space="preserve"> person-centered service, and by adhering to unwavering respect, compassion and empathy.</w:t>
      </w:r>
    </w:p>
    <w:p w14:paraId="5347D976" w14:textId="138370C5" w:rsidR="008816C0" w:rsidRPr="008718C4" w:rsidRDefault="008816C0" w:rsidP="008816C0">
      <w:pPr>
        <w:pStyle w:val="ListParagraph"/>
        <w:numPr>
          <w:ilvl w:val="0"/>
          <w:numId w:val="21"/>
        </w:numPr>
        <w:rPr>
          <w:sz w:val="24"/>
          <w:szCs w:val="24"/>
        </w:rPr>
      </w:pPr>
      <w:r w:rsidRPr="008718C4">
        <w:rPr>
          <w:sz w:val="24"/>
          <w:szCs w:val="24"/>
        </w:rPr>
        <w:t>Enriching and improving the work life of staff to reduce burnout and overwhelm</w:t>
      </w:r>
      <w:r w:rsidR="00C44881" w:rsidRPr="008718C4">
        <w:rPr>
          <w:sz w:val="24"/>
          <w:szCs w:val="24"/>
        </w:rPr>
        <w:t xml:space="preserve"> by acknowledging and addressing staff-identified conditions that lead to suffering by our staff.</w:t>
      </w:r>
    </w:p>
    <w:p w14:paraId="0776DEE4" w14:textId="2A12F718" w:rsidR="008816C0" w:rsidRPr="008718C4" w:rsidRDefault="008816C0" w:rsidP="008816C0">
      <w:pPr>
        <w:pStyle w:val="ListParagraph"/>
        <w:numPr>
          <w:ilvl w:val="0"/>
          <w:numId w:val="21"/>
        </w:numPr>
        <w:rPr>
          <w:sz w:val="24"/>
          <w:szCs w:val="24"/>
        </w:rPr>
      </w:pPr>
      <w:r w:rsidRPr="008718C4">
        <w:rPr>
          <w:sz w:val="24"/>
          <w:szCs w:val="24"/>
        </w:rPr>
        <w:t>Reducing both per beneficiary and out-of-pocket costs for patients</w:t>
      </w:r>
      <w:r w:rsidR="00C44881" w:rsidRPr="008718C4">
        <w:rPr>
          <w:sz w:val="24"/>
          <w:szCs w:val="24"/>
        </w:rPr>
        <w:t xml:space="preserve"> by transparently providing cost of care whenever possible for patients to make informed decisions about the care they receive from us and others and by offering/finding financial assistance whenever needed, if possible.</w:t>
      </w:r>
    </w:p>
    <w:p w14:paraId="5791BCE8" w14:textId="66A7B305" w:rsidR="008816C0" w:rsidRPr="008718C4" w:rsidRDefault="008816C0" w:rsidP="008816C0">
      <w:pPr>
        <w:pStyle w:val="ListParagraph"/>
        <w:numPr>
          <w:ilvl w:val="0"/>
          <w:numId w:val="21"/>
        </w:numPr>
        <w:rPr>
          <w:sz w:val="24"/>
          <w:szCs w:val="24"/>
        </w:rPr>
      </w:pPr>
      <w:r w:rsidRPr="008718C4">
        <w:rPr>
          <w:sz w:val="24"/>
          <w:szCs w:val="24"/>
        </w:rPr>
        <w:t>Focusing on health equity to overcome barriers to healthcare services for all individuals in ways that work for them</w:t>
      </w:r>
      <w:r w:rsidR="00C44881" w:rsidRPr="008718C4">
        <w:rPr>
          <w:sz w:val="24"/>
          <w:szCs w:val="24"/>
        </w:rPr>
        <w:t xml:space="preserve"> by rigorously using data and feedback from patients and staff to identify and ameliorate inequity however it presents and whenever it is possible.</w:t>
      </w:r>
    </w:p>
    <w:p w14:paraId="388FFA4F" w14:textId="35D03D13" w:rsidR="008816C0" w:rsidRPr="008718C4" w:rsidRDefault="008816C0" w:rsidP="00312343"/>
    <w:p w14:paraId="1DD49660" w14:textId="291D0502" w:rsidR="008816C0" w:rsidRPr="008718C4" w:rsidRDefault="008816C0" w:rsidP="008816C0">
      <w:r w:rsidRPr="008718C4">
        <w:t xml:space="preserve">We treat to goal </w:t>
      </w:r>
      <w:r w:rsidR="00312343" w:rsidRPr="008718C4">
        <w:t xml:space="preserve">for chronic conditions </w:t>
      </w:r>
      <w:r w:rsidRPr="008718C4">
        <w:t xml:space="preserve">with </w:t>
      </w:r>
      <w:r w:rsidR="00312343" w:rsidRPr="008718C4">
        <w:t xml:space="preserve">those </w:t>
      </w:r>
      <w:r w:rsidRPr="008718C4">
        <w:t>goals based on best evidence and shared decision-making with people with diabetes, avoiding therapeutic (or clinical) inertia</w:t>
      </w:r>
      <w:r w:rsidR="00312343" w:rsidRPr="008718C4">
        <w:t>.</w:t>
      </w:r>
      <w:r w:rsidR="00312343" w:rsidRPr="008718C4">
        <w:rPr>
          <w:rStyle w:val="FootnoteReference"/>
        </w:rPr>
        <w:footnoteReference w:id="4"/>
      </w:r>
      <w:r w:rsidR="00312343" w:rsidRPr="008718C4">
        <w:t xml:space="preserve"> </w:t>
      </w:r>
      <w:r w:rsidRPr="008718C4">
        <w:t xml:space="preserve"> </w:t>
      </w:r>
    </w:p>
    <w:p w14:paraId="5F82C12A" w14:textId="77777777" w:rsidR="008A0FD1" w:rsidRPr="008718C4" w:rsidRDefault="008A0FD1" w:rsidP="008816C0"/>
    <w:p w14:paraId="4C1ED1EC" w14:textId="11DCF630" w:rsidR="000236C0" w:rsidRPr="000236C0" w:rsidRDefault="008A0FD1" w:rsidP="000236C0">
      <w:r w:rsidRPr="008718C4">
        <w:t>All providers and care team members will provide guideline-concordant care, following the ADA Standards of Care for adults with T2</w:t>
      </w:r>
      <w:r w:rsidR="00A37C3D">
        <w:t>D</w:t>
      </w:r>
      <w:r w:rsidR="003D6D2B" w:rsidRPr="008718C4">
        <w:t>.</w:t>
      </w:r>
      <w:bookmarkEnd w:id="2"/>
    </w:p>
    <w:p w14:paraId="48D63220" w14:textId="77777777" w:rsidR="000236C0" w:rsidRPr="003C6115" w:rsidRDefault="000236C0" w:rsidP="000236C0">
      <w:pPr>
        <w:pStyle w:val="Heading1"/>
        <w:rPr>
          <w:rFonts w:cs="Arial"/>
        </w:rPr>
      </w:pPr>
      <w:bookmarkStart w:id="3" w:name="_Toc169429295"/>
      <w:bookmarkStart w:id="4" w:name="_Toc172721041"/>
      <w:bookmarkStart w:id="5" w:name="_Toc172721798"/>
      <w:r w:rsidRPr="003C6115">
        <w:rPr>
          <w:rFonts w:cs="Arial"/>
        </w:rPr>
        <w:t>Terminology</w:t>
      </w:r>
      <w:bookmarkEnd w:id="3"/>
      <w:bookmarkEnd w:id="4"/>
      <w:bookmarkEnd w:id="5"/>
    </w:p>
    <w:p w14:paraId="5C4DDE73" w14:textId="77777777" w:rsidR="000236C0" w:rsidRPr="003C6115" w:rsidRDefault="000236C0" w:rsidP="000236C0">
      <w:pPr>
        <w:rPr>
          <w:rFonts w:cs="Arial"/>
          <w:szCs w:val="22"/>
        </w:rPr>
      </w:pPr>
      <w:r w:rsidRPr="003C6115">
        <w:rPr>
          <w:rFonts w:cs="Arial"/>
          <w:b/>
          <w:bCs/>
          <w:szCs w:val="22"/>
        </w:rPr>
        <w:t>Nonadherent rather than noncompliant</w:t>
      </w:r>
      <w:r w:rsidRPr="003C6115">
        <w:rPr>
          <w:rFonts w:cs="Arial"/>
          <w:szCs w:val="22"/>
        </w:rPr>
        <w:t xml:space="preserve"> - Noncompliant is a term that invokes medical paternalism, while the term nonadherent acknowledges that we respect patients’ decisions and choices.</w:t>
      </w:r>
    </w:p>
    <w:p w14:paraId="325BC00A" w14:textId="77777777" w:rsidR="000236C0" w:rsidRPr="003C6115" w:rsidRDefault="000236C0" w:rsidP="000236C0">
      <w:pPr>
        <w:rPr>
          <w:rFonts w:cs="Arial"/>
          <w:szCs w:val="22"/>
        </w:rPr>
      </w:pPr>
    </w:p>
    <w:p w14:paraId="147AE97B" w14:textId="73E5117D" w:rsidR="000236C0" w:rsidRPr="003C6115" w:rsidRDefault="000236C0" w:rsidP="000236C0">
      <w:pPr>
        <w:rPr>
          <w:rFonts w:cs="Arial"/>
          <w:szCs w:val="22"/>
        </w:rPr>
      </w:pPr>
      <w:r w:rsidRPr="003C6115">
        <w:rPr>
          <w:rFonts w:cs="Arial"/>
          <w:b/>
          <w:bCs/>
          <w:szCs w:val="22"/>
        </w:rPr>
        <w:t>Declines rather than refuses</w:t>
      </w:r>
      <w:r w:rsidRPr="003C6115">
        <w:rPr>
          <w:rFonts w:cs="Arial"/>
          <w:szCs w:val="22"/>
        </w:rPr>
        <w:t xml:space="preserve"> – Similar to the above, </w:t>
      </w:r>
      <w:r w:rsidR="00A37C3D">
        <w:rPr>
          <w:rFonts w:cs="Arial"/>
          <w:szCs w:val="22"/>
        </w:rPr>
        <w:t>the term “refuses”</w:t>
      </w:r>
      <w:r w:rsidR="00A37C3D" w:rsidRPr="003C6115">
        <w:rPr>
          <w:rFonts w:cs="Arial"/>
          <w:szCs w:val="22"/>
        </w:rPr>
        <w:t xml:space="preserve"> </w:t>
      </w:r>
      <w:r w:rsidRPr="003C6115">
        <w:rPr>
          <w:rFonts w:cs="Arial"/>
          <w:szCs w:val="22"/>
        </w:rPr>
        <w:t xml:space="preserve">invokes medical paternalism. We respect people’s right to engage in shared decision-making and to decline all or part of our treatment and other recommendations, acknowledging that prior to a declination, we have provided people with all the information they need including the risks, benefits, alternatives and potential consequences, including death, if appropriate. </w:t>
      </w:r>
    </w:p>
    <w:p w14:paraId="4A5BD1A6" w14:textId="77777777" w:rsidR="000236C0" w:rsidRPr="003C6115" w:rsidRDefault="000236C0" w:rsidP="000236C0">
      <w:pPr>
        <w:pStyle w:val="Heading1"/>
        <w:rPr>
          <w:rFonts w:cs="Arial"/>
        </w:rPr>
      </w:pPr>
      <w:bookmarkStart w:id="6" w:name="_Toc169429296"/>
      <w:bookmarkStart w:id="7" w:name="_Toc172721042"/>
      <w:bookmarkStart w:id="8" w:name="_Toc172721799"/>
      <w:r>
        <w:rPr>
          <w:rFonts w:cs="Arial"/>
        </w:rPr>
        <w:t>Population Health Management and Support</w:t>
      </w:r>
      <w:bookmarkEnd w:id="6"/>
      <w:bookmarkEnd w:id="7"/>
      <w:bookmarkEnd w:id="8"/>
    </w:p>
    <w:p w14:paraId="3F86AF76" w14:textId="77777777" w:rsidR="000236C0" w:rsidRPr="00DE770C" w:rsidRDefault="000236C0" w:rsidP="000236C0">
      <w:pPr>
        <w:spacing w:after="120"/>
        <w:rPr>
          <w:rFonts w:cs="Arial"/>
          <w:b/>
          <w:bCs/>
          <w:szCs w:val="22"/>
        </w:rPr>
      </w:pPr>
      <w:r w:rsidRPr="00DE770C">
        <w:rPr>
          <w:rFonts w:cs="Arial"/>
        </w:rPr>
        <w:t>There are several opportunities around which we develop staffing, systems, workflows, quality improvement and measurement, HIT support, and accountability</w:t>
      </w:r>
    </w:p>
    <w:p w14:paraId="2D0619C2" w14:textId="77777777" w:rsidR="000236C0" w:rsidRPr="003C6115" w:rsidRDefault="000236C0" w:rsidP="00024C70">
      <w:pPr>
        <w:pStyle w:val="Heading2"/>
        <w:ind w:firstLine="720"/>
        <w:rPr>
          <w:sz w:val="28"/>
          <w:szCs w:val="28"/>
        </w:rPr>
      </w:pPr>
      <w:bookmarkStart w:id="9" w:name="_Toc169429297"/>
      <w:bookmarkStart w:id="10" w:name="_Toc172721043"/>
      <w:bookmarkStart w:id="11" w:name="_Toc172721800"/>
      <w:r>
        <w:rPr>
          <w:sz w:val="28"/>
          <w:szCs w:val="28"/>
        </w:rPr>
        <w:t xml:space="preserve">In Reach - </w:t>
      </w:r>
      <w:r w:rsidRPr="003C6115">
        <w:rPr>
          <w:sz w:val="28"/>
          <w:szCs w:val="28"/>
        </w:rPr>
        <w:t>Pre-visit Planning</w:t>
      </w:r>
      <w:bookmarkEnd w:id="9"/>
      <w:bookmarkEnd w:id="10"/>
      <w:bookmarkEnd w:id="11"/>
    </w:p>
    <w:p w14:paraId="33F92DD5" w14:textId="30AB85E0" w:rsidR="000236C0" w:rsidRDefault="000236C0" w:rsidP="00024C70">
      <w:pPr>
        <w:ind w:left="720"/>
        <w:rPr>
          <w:rFonts w:cs="Arial"/>
        </w:rPr>
      </w:pPr>
      <w:r w:rsidRPr="003C6115">
        <w:rPr>
          <w:rFonts w:cs="Arial"/>
        </w:rPr>
        <w:t>Regardless of the reason for the visit or the timing of the visit</w:t>
      </w:r>
      <w:r>
        <w:rPr>
          <w:rFonts w:cs="Arial"/>
        </w:rPr>
        <w:t xml:space="preserve"> (e.g., same day or walk-in)</w:t>
      </w:r>
      <w:r w:rsidRPr="003C6115">
        <w:rPr>
          <w:rFonts w:cs="Arial"/>
        </w:rPr>
        <w:t xml:space="preserve">, unless there are compelling reasons why it is not possible, we identify and address all preventive and chronic care gaps for all people with diabetes, acknowledging that failure to do so may result in patient harm and is </w:t>
      </w:r>
      <w:proofErr w:type="gramStart"/>
      <w:r w:rsidRPr="003C6115">
        <w:rPr>
          <w:rFonts w:cs="Arial"/>
        </w:rPr>
        <w:t>a risk</w:t>
      </w:r>
      <w:proofErr w:type="gramEnd"/>
      <w:r w:rsidRPr="003C6115">
        <w:rPr>
          <w:rFonts w:cs="Arial"/>
        </w:rPr>
        <w:t xml:space="preserve"> management consideration. </w:t>
      </w:r>
      <w:r w:rsidRPr="003C6115">
        <w:rPr>
          <w:rFonts w:cs="Arial"/>
          <w:color w:val="212121"/>
          <w:szCs w:val="22"/>
          <w:shd w:val="clear" w:color="auto" w:fill="FFFFFF"/>
        </w:rPr>
        <w:t>“</w:t>
      </w:r>
      <w:proofErr w:type="spellStart"/>
      <w:r w:rsidRPr="003C6115">
        <w:rPr>
          <w:rFonts w:cs="Arial"/>
          <w:color w:val="212121"/>
          <w:szCs w:val="22"/>
          <w:shd w:val="clear" w:color="auto" w:fill="FFFFFF"/>
        </w:rPr>
        <w:t>Previsit</w:t>
      </w:r>
      <w:proofErr w:type="spellEnd"/>
      <w:r w:rsidRPr="003C6115">
        <w:rPr>
          <w:rFonts w:cs="Arial"/>
          <w:color w:val="212121"/>
          <w:szCs w:val="22"/>
          <w:shd w:val="clear" w:color="auto" w:fill="FFFFFF"/>
        </w:rPr>
        <w:t xml:space="preserve"> planning is a form of proactive care that allows for opportunistic care to be provided when the patient visits the practice for another reason.”</w:t>
      </w:r>
      <w:r w:rsidRPr="003C6115">
        <w:rPr>
          <w:rStyle w:val="FootnoteReference"/>
          <w:rFonts w:cs="Arial"/>
          <w:color w:val="212121"/>
          <w:szCs w:val="22"/>
          <w:shd w:val="clear" w:color="auto" w:fill="FFFFFF"/>
        </w:rPr>
        <w:footnoteReference w:id="5"/>
      </w:r>
      <w:r>
        <w:rPr>
          <w:rFonts w:cs="Arial"/>
          <w:color w:val="212121"/>
          <w:szCs w:val="22"/>
          <w:shd w:val="clear" w:color="auto" w:fill="FFFFFF"/>
        </w:rPr>
        <w:t xml:space="preserve"> </w:t>
      </w:r>
      <w:r w:rsidRPr="00980139">
        <w:rPr>
          <w:rFonts w:cs="Arial"/>
          <w:highlight w:val="yellow"/>
        </w:rPr>
        <w:t>[Consider directing to our P&amp;P around pre-visit planning and chart scrubs.]</w:t>
      </w:r>
    </w:p>
    <w:p w14:paraId="1F548D93" w14:textId="742F02D9" w:rsidR="00024C70" w:rsidRDefault="000236C0" w:rsidP="00024C70">
      <w:pPr>
        <w:pStyle w:val="Heading2"/>
        <w:ind w:left="720"/>
      </w:pPr>
      <w:bookmarkStart w:id="12" w:name="_Toc169429298"/>
      <w:bookmarkStart w:id="13" w:name="_Toc172721045"/>
      <w:bookmarkStart w:id="14" w:name="_Toc172721801"/>
      <w:r w:rsidRPr="003C6115">
        <w:t>Outreach for Reminders</w:t>
      </w:r>
      <w:bookmarkEnd w:id="12"/>
      <w:bookmarkEnd w:id="13"/>
      <w:bookmarkEnd w:id="14"/>
    </w:p>
    <w:p w14:paraId="45188009" w14:textId="36C9BB9B" w:rsidR="00024C70" w:rsidRPr="008718C4" w:rsidRDefault="00024C70" w:rsidP="00024C70">
      <w:pPr>
        <w:ind w:left="720"/>
        <w:rPr>
          <w:rFonts w:cs="Arial"/>
        </w:rPr>
      </w:pPr>
      <w:r w:rsidRPr="008718C4">
        <w:rPr>
          <w:rFonts w:cs="Arial"/>
        </w:rPr>
        <w:t xml:space="preserve">We run monthly reports to proactively </w:t>
      </w:r>
      <w:proofErr w:type="gramStart"/>
      <w:r w:rsidRPr="008718C4">
        <w:rPr>
          <w:rFonts w:cs="Arial"/>
        </w:rPr>
        <w:t>outreach to our</w:t>
      </w:r>
      <w:proofErr w:type="gramEnd"/>
      <w:r w:rsidRPr="008718C4">
        <w:rPr>
          <w:rFonts w:cs="Arial"/>
        </w:rPr>
        <w:t xml:space="preserve"> patients who are due for the following recommended diabetes-related care</w:t>
      </w:r>
      <w:r>
        <w:rPr>
          <w:rFonts w:cs="Arial"/>
        </w:rPr>
        <w:t>. These reports include all patients (e.g., not only those with a managed care plan)</w:t>
      </w:r>
      <w:r w:rsidRPr="008718C4">
        <w:rPr>
          <w:rFonts w:cs="Arial"/>
        </w:rPr>
        <w:t>:</w:t>
      </w:r>
    </w:p>
    <w:p w14:paraId="57F4A373" w14:textId="77777777" w:rsidR="00024C70" w:rsidRPr="008718C4" w:rsidRDefault="00024C70" w:rsidP="00024C70">
      <w:pPr>
        <w:pStyle w:val="ListParagraph"/>
        <w:numPr>
          <w:ilvl w:val="0"/>
          <w:numId w:val="26"/>
        </w:numPr>
        <w:ind w:left="1440"/>
        <w:rPr>
          <w:rFonts w:cs="Arial"/>
          <w:sz w:val="24"/>
          <w:szCs w:val="24"/>
        </w:rPr>
      </w:pPr>
      <w:r w:rsidRPr="008718C4">
        <w:rPr>
          <w:rFonts w:cs="Arial"/>
          <w:sz w:val="24"/>
          <w:szCs w:val="24"/>
        </w:rPr>
        <w:t>In-person or telehealth visits with PCP every three months for A1C ≥ 7% (or other goal as established by patient and PCP) and every six months for A1C &lt; 7%.</w:t>
      </w:r>
    </w:p>
    <w:p w14:paraId="5F2F45DF" w14:textId="77777777" w:rsidR="00024C70" w:rsidRPr="008718C4" w:rsidRDefault="00024C70" w:rsidP="00024C70">
      <w:pPr>
        <w:pStyle w:val="ListParagraph"/>
        <w:numPr>
          <w:ilvl w:val="0"/>
          <w:numId w:val="26"/>
        </w:numPr>
        <w:ind w:left="1440"/>
        <w:rPr>
          <w:rFonts w:cs="Arial"/>
          <w:sz w:val="24"/>
          <w:szCs w:val="24"/>
        </w:rPr>
      </w:pPr>
      <w:r w:rsidRPr="008718C4">
        <w:rPr>
          <w:rFonts w:cs="Arial"/>
          <w:sz w:val="24"/>
          <w:szCs w:val="24"/>
        </w:rPr>
        <w:t>A1C every three months for A1C ≥ 7% (or other goal as established by patient and PCP) and every six months for A1C &lt; 7%.</w:t>
      </w:r>
    </w:p>
    <w:p w14:paraId="339866B6" w14:textId="77777777" w:rsidR="00024C70" w:rsidRPr="008718C4" w:rsidRDefault="00024C70" w:rsidP="00024C70">
      <w:pPr>
        <w:pStyle w:val="ListParagraph"/>
        <w:numPr>
          <w:ilvl w:val="0"/>
          <w:numId w:val="26"/>
        </w:numPr>
        <w:ind w:left="1440"/>
        <w:rPr>
          <w:rFonts w:cs="Arial"/>
          <w:sz w:val="24"/>
          <w:szCs w:val="24"/>
        </w:rPr>
      </w:pPr>
      <w:r w:rsidRPr="008718C4">
        <w:rPr>
          <w:rFonts w:cs="Arial"/>
          <w:sz w:val="24"/>
          <w:szCs w:val="24"/>
        </w:rPr>
        <w:t>Annual labs as recommended by the ADA</w:t>
      </w:r>
    </w:p>
    <w:p w14:paraId="78A920C4" w14:textId="77777777" w:rsidR="00024C70" w:rsidRPr="008718C4" w:rsidRDefault="00024C70" w:rsidP="00024C70">
      <w:pPr>
        <w:pStyle w:val="ListParagraph"/>
        <w:numPr>
          <w:ilvl w:val="1"/>
          <w:numId w:val="26"/>
        </w:numPr>
        <w:ind w:left="2160"/>
        <w:rPr>
          <w:rFonts w:cs="Arial"/>
          <w:sz w:val="24"/>
          <w:szCs w:val="24"/>
        </w:rPr>
      </w:pPr>
      <w:r w:rsidRPr="008718C4">
        <w:rPr>
          <w:rFonts w:cs="Arial"/>
          <w:sz w:val="24"/>
          <w:szCs w:val="24"/>
        </w:rPr>
        <w:t>Lipid panel for those with dyslipidemia unless more frequently due to medication changes</w:t>
      </w:r>
    </w:p>
    <w:p w14:paraId="0B5AF871" w14:textId="77777777" w:rsidR="00024C70" w:rsidRPr="008718C4" w:rsidRDefault="00024C70" w:rsidP="00024C70">
      <w:pPr>
        <w:pStyle w:val="ListParagraph"/>
        <w:numPr>
          <w:ilvl w:val="1"/>
          <w:numId w:val="26"/>
        </w:numPr>
        <w:ind w:left="2160"/>
        <w:rPr>
          <w:rFonts w:cs="Arial"/>
          <w:sz w:val="24"/>
          <w:szCs w:val="24"/>
        </w:rPr>
      </w:pPr>
      <w:proofErr w:type="spellStart"/>
      <w:r w:rsidRPr="008718C4">
        <w:rPr>
          <w:rFonts w:cs="Arial"/>
          <w:sz w:val="24"/>
          <w:szCs w:val="24"/>
        </w:rPr>
        <w:t>uACR</w:t>
      </w:r>
      <w:proofErr w:type="spellEnd"/>
      <w:r w:rsidRPr="008718C4">
        <w:rPr>
          <w:rFonts w:cs="Arial"/>
          <w:sz w:val="24"/>
          <w:szCs w:val="24"/>
        </w:rPr>
        <w:t xml:space="preserve"> and eGFR</w:t>
      </w:r>
    </w:p>
    <w:p w14:paraId="3BF9B67B" w14:textId="77777777" w:rsidR="00024C70" w:rsidRPr="008718C4" w:rsidRDefault="00024C70" w:rsidP="00024C70">
      <w:pPr>
        <w:pStyle w:val="ListParagraph"/>
        <w:numPr>
          <w:ilvl w:val="1"/>
          <w:numId w:val="26"/>
        </w:numPr>
        <w:ind w:left="2160"/>
        <w:rPr>
          <w:rFonts w:cs="Arial"/>
          <w:sz w:val="24"/>
          <w:szCs w:val="24"/>
        </w:rPr>
      </w:pPr>
      <w:r w:rsidRPr="008718C4">
        <w:rPr>
          <w:rFonts w:cs="Arial"/>
          <w:sz w:val="24"/>
          <w:szCs w:val="24"/>
        </w:rPr>
        <w:t>Vitamin B12 if on metformin</w:t>
      </w:r>
    </w:p>
    <w:p w14:paraId="75DA65B2" w14:textId="77777777" w:rsidR="00024C70" w:rsidRPr="008718C4" w:rsidRDefault="00024C70" w:rsidP="00024C70">
      <w:pPr>
        <w:pStyle w:val="ListParagraph"/>
        <w:numPr>
          <w:ilvl w:val="1"/>
          <w:numId w:val="26"/>
        </w:numPr>
        <w:ind w:left="2160"/>
        <w:rPr>
          <w:rFonts w:cs="Arial"/>
          <w:sz w:val="24"/>
          <w:szCs w:val="24"/>
        </w:rPr>
      </w:pPr>
      <w:r w:rsidRPr="008718C4">
        <w:rPr>
          <w:rFonts w:cs="Arial"/>
          <w:sz w:val="24"/>
          <w:szCs w:val="24"/>
        </w:rPr>
        <w:t>Complete blood count</w:t>
      </w:r>
    </w:p>
    <w:p w14:paraId="567C55C6" w14:textId="77777777" w:rsidR="00024C70" w:rsidRPr="008718C4" w:rsidRDefault="00024C70" w:rsidP="00024C70">
      <w:pPr>
        <w:pStyle w:val="ListParagraph"/>
        <w:numPr>
          <w:ilvl w:val="1"/>
          <w:numId w:val="26"/>
        </w:numPr>
        <w:ind w:left="2160"/>
        <w:rPr>
          <w:rFonts w:cs="Arial"/>
          <w:sz w:val="24"/>
          <w:szCs w:val="24"/>
        </w:rPr>
      </w:pPr>
      <w:r w:rsidRPr="008718C4">
        <w:rPr>
          <w:rFonts w:cs="Arial"/>
          <w:sz w:val="24"/>
          <w:szCs w:val="24"/>
        </w:rPr>
        <w:t>Potassium if on ACE-I, ARB or diuretics (more frequently for those with CKD or other medications that affect kidney function and potassium levels)</w:t>
      </w:r>
    </w:p>
    <w:p w14:paraId="7AF36D5C" w14:textId="77777777" w:rsidR="00024C70" w:rsidRPr="00980139" w:rsidRDefault="00024C70" w:rsidP="00024C70">
      <w:pPr>
        <w:pStyle w:val="ListParagraph"/>
        <w:numPr>
          <w:ilvl w:val="1"/>
          <w:numId w:val="26"/>
        </w:numPr>
        <w:ind w:left="2160"/>
        <w:rPr>
          <w:rFonts w:cs="Arial"/>
          <w:sz w:val="24"/>
          <w:szCs w:val="24"/>
        </w:rPr>
      </w:pPr>
      <w:r w:rsidRPr="008718C4">
        <w:rPr>
          <w:rFonts w:cs="Arial"/>
          <w:sz w:val="24"/>
          <w:szCs w:val="24"/>
        </w:rPr>
        <w:t>Others as per PCP and/or current guidelines</w:t>
      </w:r>
    </w:p>
    <w:p w14:paraId="572F1A80" w14:textId="77777777" w:rsidR="00024C70" w:rsidRDefault="00024C70" w:rsidP="00024C70">
      <w:pPr>
        <w:ind w:left="720"/>
        <w:rPr>
          <w:rFonts w:cs="Arial"/>
        </w:rPr>
      </w:pPr>
    </w:p>
    <w:p w14:paraId="60CA66F1" w14:textId="77777777" w:rsidR="000236C0" w:rsidRDefault="000236C0" w:rsidP="000236C0">
      <w:pPr>
        <w:rPr>
          <w:rFonts w:cs="Arial"/>
        </w:rPr>
      </w:pPr>
    </w:p>
    <w:p w14:paraId="496840BD" w14:textId="0BB8EBB0" w:rsidR="000236C0" w:rsidRPr="003C6115" w:rsidRDefault="000236C0" w:rsidP="00024C70">
      <w:pPr>
        <w:ind w:firstLine="720"/>
        <w:rPr>
          <w:rFonts w:cs="Arial"/>
        </w:rPr>
      </w:pPr>
      <w:r w:rsidRPr="000236C0">
        <w:rPr>
          <w:rFonts w:cs="Arial"/>
          <w:highlight w:val="yellow"/>
        </w:rPr>
        <w:t>[Insert process for outreach for reminders]</w:t>
      </w:r>
    </w:p>
    <w:p w14:paraId="6B562C79" w14:textId="77777777" w:rsidR="000236C0" w:rsidRPr="003C6115" w:rsidRDefault="000236C0" w:rsidP="00024C70">
      <w:pPr>
        <w:pStyle w:val="Heading2"/>
        <w:ind w:left="720"/>
      </w:pPr>
      <w:bookmarkStart w:id="15" w:name="_Toc169429299"/>
      <w:bookmarkStart w:id="16" w:name="_Toc172721046"/>
      <w:bookmarkStart w:id="17" w:name="_Toc172721802"/>
      <w:r>
        <w:t>Our Reach</w:t>
      </w:r>
      <w:bookmarkEnd w:id="15"/>
      <w:bookmarkEnd w:id="16"/>
      <w:bookmarkEnd w:id="17"/>
    </w:p>
    <w:p w14:paraId="63F52128" w14:textId="4B72F42D" w:rsidR="000236C0" w:rsidRDefault="000236C0" w:rsidP="00024C70">
      <w:pPr>
        <w:ind w:left="720"/>
        <w:rPr>
          <w:rFonts w:cs="Arial"/>
          <w:szCs w:val="22"/>
        </w:rPr>
      </w:pPr>
      <w:r>
        <w:rPr>
          <w:rFonts w:cs="Arial"/>
          <w:szCs w:val="22"/>
        </w:rPr>
        <w:t>In our efforts to truly meet people where they</w:t>
      </w:r>
      <w:r w:rsidR="00024C70">
        <w:rPr>
          <w:rFonts w:cs="Arial"/>
          <w:szCs w:val="22"/>
        </w:rPr>
        <w:t xml:space="preserve"> are</w:t>
      </w:r>
      <w:r>
        <w:rPr>
          <w:rFonts w:cs="Arial"/>
          <w:szCs w:val="22"/>
        </w:rPr>
        <w:t>, the following are ways we provide healthcare services that are beyond our brick walls and potentially away from our computers.</w:t>
      </w:r>
    </w:p>
    <w:p w14:paraId="4E05D778" w14:textId="77777777" w:rsidR="000236C0" w:rsidRPr="00024C70" w:rsidRDefault="000236C0" w:rsidP="000236C0">
      <w:pPr>
        <w:rPr>
          <w:rFonts w:cs="Arial"/>
        </w:rPr>
      </w:pPr>
    </w:p>
    <w:p w14:paraId="5127EB90" w14:textId="77777777" w:rsidR="000236C0" w:rsidRPr="00024C70" w:rsidRDefault="000236C0" w:rsidP="00024C70">
      <w:pPr>
        <w:pStyle w:val="ListParagraph"/>
        <w:numPr>
          <w:ilvl w:val="0"/>
          <w:numId w:val="30"/>
        </w:numPr>
        <w:ind w:left="1080"/>
        <w:rPr>
          <w:rFonts w:cs="Arial"/>
          <w:sz w:val="24"/>
          <w:szCs w:val="24"/>
        </w:rPr>
      </w:pPr>
      <w:r w:rsidRPr="00024C70">
        <w:rPr>
          <w:rFonts w:cs="Arial"/>
          <w:b/>
          <w:bCs/>
          <w:sz w:val="24"/>
          <w:szCs w:val="24"/>
        </w:rPr>
        <w:t>Telehealth.</w:t>
      </w:r>
      <w:r w:rsidRPr="00024C70">
        <w:rPr>
          <w:rFonts w:cs="Arial"/>
          <w:sz w:val="24"/>
          <w:szCs w:val="24"/>
        </w:rPr>
        <w:t xml:space="preserve"> In alignment with the American Diabetes Association (ADA) Standards of Care recommendations we leverage telehealth capabilities to improve access to care. Provided a visit </w:t>
      </w:r>
      <w:proofErr w:type="gramStart"/>
      <w:r w:rsidRPr="00024C70">
        <w:rPr>
          <w:rFonts w:cs="Arial"/>
          <w:sz w:val="24"/>
          <w:szCs w:val="24"/>
        </w:rPr>
        <w:t>falls</w:t>
      </w:r>
      <w:proofErr w:type="gramEnd"/>
      <w:r w:rsidRPr="00024C70">
        <w:rPr>
          <w:rFonts w:cs="Arial"/>
          <w:sz w:val="24"/>
          <w:szCs w:val="24"/>
        </w:rPr>
        <w:t xml:space="preserve"> within our telehealth triage protocols, all patients are offered telehealth or in-person as options for visits with any of our staff, including with their primary care provider (PCP), care management, care coordination, dietician/nutritionist, specialist or other.</w:t>
      </w:r>
    </w:p>
    <w:p w14:paraId="0384CC68" w14:textId="77777777" w:rsidR="000236C0" w:rsidRPr="00024C70" w:rsidRDefault="000236C0" w:rsidP="00024C70">
      <w:pPr>
        <w:ind w:left="360"/>
        <w:rPr>
          <w:rFonts w:cs="Arial"/>
        </w:rPr>
      </w:pPr>
    </w:p>
    <w:p w14:paraId="18A26423" w14:textId="77777777" w:rsidR="000236C0" w:rsidRPr="00024C70" w:rsidRDefault="000236C0" w:rsidP="00024C70">
      <w:pPr>
        <w:pStyle w:val="ListParagraph"/>
        <w:numPr>
          <w:ilvl w:val="0"/>
          <w:numId w:val="30"/>
        </w:numPr>
        <w:ind w:left="1080"/>
        <w:rPr>
          <w:rFonts w:cs="Arial"/>
          <w:sz w:val="24"/>
          <w:szCs w:val="24"/>
        </w:rPr>
      </w:pPr>
      <w:r w:rsidRPr="00024C70">
        <w:rPr>
          <w:rFonts w:cs="Arial"/>
          <w:b/>
          <w:bCs/>
          <w:sz w:val="24"/>
          <w:szCs w:val="24"/>
        </w:rPr>
        <w:t>Mobile clinic.</w:t>
      </w:r>
      <w:r w:rsidRPr="00024C70">
        <w:rPr>
          <w:rFonts w:cs="Arial"/>
          <w:sz w:val="24"/>
          <w:szCs w:val="24"/>
        </w:rPr>
        <w:t xml:space="preserve"> Whenever possible we advise the option of using the mobile clinic at the discretion of the PCP and/or care team.</w:t>
      </w:r>
    </w:p>
    <w:p w14:paraId="28E84897" w14:textId="77777777" w:rsidR="000236C0" w:rsidRPr="00024C70" w:rsidRDefault="000236C0" w:rsidP="00024C70">
      <w:pPr>
        <w:ind w:left="360"/>
        <w:rPr>
          <w:rFonts w:cs="Arial"/>
        </w:rPr>
      </w:pPr>
    </w:p>
    <w:p w14:paraId="72359355" w14:textId="77777777" w:rsidR="000236C0" w:rsidRPr="00024C70" w:rsidRDefault="000236C0" w:rsidP="00024C70">
      <w:pPr>
        <w:pStyle w:val="ListParagraph"/>
        <w:numPr>
          <w:ilvl w:val="0"/>
          <w:numId w:val="30"/>
        </w:numPr>
        <w:ind w:left="1080"/>
        <w:rPr>
          <w:rFonts w:cs="Arial"/>
          <w:sz w:val="24"/>
          <w:szCs w:val="24"/>
        </w:rPr>
      </w:pPr>
      <w:r w:rsidRPr="00024C70">
        <w:rPr>
          <w:rFonts w:cs="Arial"/>
          <w:b/>
          <w:bCs/>
          <w:sz w:val="24"/>
          <w:szCs w:val="24"/>
        </w:rPr>
        <w:t>Street medicine.</w:t>
      </w:r>
      <w:r w:rsidRPr="00024C70">
        <w:rPr>
          <w:rFonts w:cs="Arial"/>
          <w:sz w:val="24"/>
          <w:szCs w:val="24"/>
        </w:rPr>
        <w:t xml:space="preserve"> The California Department of Health Care Services defines street medicine as “…a set of health and social services developed specifically to address the unique needs and circumstances of individuals experiencing unsheltered homelessness, delivered directly to them in their own environment.”</w:t>
      </w:r>
      <w:r w:rsidRPr="00024C70">
        <w:rPr>
          <w:rStyle w:val="FootnoteReference"/>
          <w:rFonts w:cs="Arial"/>
          <w:sz w:val="24"/>
          <w:szCs w:val="24"/>
        </w:rPr>
        <w:footnoteReference w:id="6"/>
      </w:r>
    </w:p>
    <w:p w14:paraId="0C6212DA" w14:textId="77777777" w:rsidR="000236C0" w:rsidRPr="00024C70" w:rsidRDefault="000236C0" w:rsidP="00024C70">
      <w:pPr>
        <w:ind w:left="360"/>
        <w:rPr>
          <w:rFonts w:cs="Arial"/>
        </w:rPr>
      </w:pPr>
    </w:p>
    <w:p w14:paraId="0793ADA2" w14:textId="5D39322F" w:rsidR="00024C70" w:rsidRPr="00024C70" w:rsidRDefault="000236C0" w:rsidP="000236C0">
      <w:pPr>
        <w:pStyle w:val="ListParagraph"/>
        <w:numPr>
          <w:ilvl w:val="0"/>
          <w:numId w:val="30"/>
        </w:numPr>
        <w:ind w:left="1080"/>
        <w:rPr>
          <w:rFonts w:cs="Arial"/>
          <w:sz w:val="24"/>
          <w:szCs w:val="24"/>
        </w:rPr>
      </w:pPr>
      <w:r w:rsidRPr="00024C70">
        <w:rPr>
          <w:rFonts w:cs="Arial"/>
          <w:b/>
          <w:bCs/>
          <w:sz w:val="24"/>
          <w:szCs w:val="24"/>
        </w:rPr>
        <w:t>Home visits.</w:t>
      </w:r>
      <w:r w:rsidRPr="00024C70">
        <w:rPr>
          <w:rFonts w:cs="Arial"/>
          <w:sz w:val="24"/>
          <w:szCs w:val="24"/>
        </w:rPr>
        <w:t xml:space="preserve"> For select patients, we provide home visits. These patients usually have high A1C values, have challenges presenting for an in-person visit at our clinic, and are not good candidates for a telehealth visit (e.g., no device with audio/video, inadequate bandwidth, lack of privacy, poor digital literacy)</w:t>
      </w:r>
    </w:p>
    <w:p w14:paraId="0BC6E2F2" w14:textId="77777777" w:rsidR="00024C70" w:rsidRPr="003C6115" w:rsidRDefault="00024C70" w:rsidP="00024C70">
      <w:pPr>
        <w:pStyle w:val="Heading2"/>
        <w:ind w:firstLine="720"/>
      </w:pPr>
      <w:bookmarkStart w:id="18" w:name="_Toc172721044"/>
      <w:bookmarkStart w:id="19" w:name="_Toc172721803"/>
      <w:r>
        <w:t>Diabetes Self-Management Education and Support (DSMES)</w:t>
      </w:r>
      <w:bookmarkEnd w:id="18"/>
      <w:bookmarkEnd w:id="19"/>
    </w:p>
    <w:p w14:paraId="67FD1356" w14:textId="77777777" w:rsidR="00024C70" w:rsidRPr="003C6115" w:rsidRDefault="00024C70" w:rsidP="00024C70">
      <w:pPr>
        <w:ind w:left="720"/>
        <w:rPr>
          <w:rFonts w:cs="Arial"/>
        </w:rPr>
      </w:pPr>
      <w:r>
        <w:rPr>
          <w:rFonts w:cs="Arial"/>
        </w:rPr>
        <w:t xml:space="preserve">Unless a person declines or a provider prefers otherwise, all people with T2D will be offered and connected with DSMES in ways that are accessible and acceptable to the individual with T2D. We maintain our list of options and </w:t>
      </w:r>
      <w:proofErr w:type="gramStart"/>
      <w:r>
        <w:rPr>
          <w:rFonts w:cs="Arial"/>
        </w:rPr>
        <w:t>supports</w:t>
      </w:r>
      <w:proofErr w:type="gramEnd"/>
      <w:r>
        <w:rPr>
          <w:rFonts w:cs="Arial"/>
        </w:rPr>
        <w:t xml:space="preserve"> </w:t>
      </w:r>
      <w:r w:rsidRPr="000236C0">
        <w:rPr>
          <w:rFonts w:cs="Arial"/>
          <w:highlight w:val="yellow"/>
        </w:rPr>
        <w:t>[insert where this list or information may be found].</w:t>
      </w:r>
    </w:p>
    <w:p w14:paraId="0F2EED3E" w14:textId="77777777" w:rsidR="00024C70" w:rsidRDefault="00024C70" w:rsidP="000236C0">
      <w:pPr>
        <w:rPr>
          <w:rFonts w:cs="Arial"/>
          <w:szCs w:val="22"/>
        </w:rPr>
      </w:pPr>
    </w:p>
    <w:p w14:paraId="4CE3082D" w14:textId="0C1B2B2C" w:rsidR="000236C0" w:rsidRPr="001C3026" w:rsidRDefault="000236C0" w:rsidP="00024C70">
      <w:pPr>
        <w:pStyle w:val="Heading1"/>
        <w:rPr>
          <w:rFonts w:cs="Arial"/>
          <w:szCs w:val="26"/>
        </w:rPr>
      </w:pPr>
      <w:bookmarkStart w:id="20" w:name="_Toc169429300"/>
      <w:bookmarkStart w:id="21" w:name="_Toc172721047"/>
      <w:bookmarkStart w:id="22" w:name="_Toc172721804"/>
      <w:r w:rsidRPr="003C6115">
        <w:t>Risk Stratification</w:t>
      </w:r>
      <w:r>
        <w:t xml:space="preserve"> and Individualized Treatment Plans</w:t>
      </w:r>
      <w:bookmarkEnd w:id="20"/>
      <w:bookmarkEnd w:id="21"/>
      <w:bookmarkEnd w:id="22"/>
    </w:p>
    <w:p w14:paraId="4D643DAD" w14:textId="5CA56DF2" w:rsidR="000236C0" w:rsidRDefault="000236C0" w:rsidP="00024C70">
      <w:pPr>
        <w:rPr>
          <w:rFonts w:cs="Arial"/>
          <w:szCs w:val="22"/>
        </w:rPr>
      </w:pPr>
      <w:r>
        <w:rPr>
          <w:rFonts w:cs="Arial"/>
          <w:szCs w:val="22"/>
        </w:rPr>
        <w:t xml:space="preserve">We apply risk stratification for our population of people with diabetes and provide enhanced services based on each stratum and individual needs, including but not limited to care management, care coordination, patient navigation, behavioral health, and lifestyle management. </w:t>
      </w:r>
      <w:r w:rsidRPr="000236C0">
        <w:rPr>
          <w:rFonts w:cs="Arial"/>
          <w:szCs w:val="22"/>
          <w:highlight w:val="yellow"/>
        </w:rPr>
        <w:t>[Insert additional details.]</w:t>
      </w:r>
    </w:p>
    <w:p w14:paraId="199F01F9" w14:textId="77777777" w:rsidR="000236C0" w:rsidRPr="003C6115" w:rsidRDefault="000236C0" w:rsidP="00024C70">
      <w:pPr>
        <w:pStyle w:val="Heading1"/>
      </w:pPr>
      <w:bookmarkStart w:id="23" w:name="_Toc169429301"/>
      <w:bookmarkStart w:id="24" w:name="_Toc172721048"/>
      <w:bookmarkStart w:id="25" w:name="_Toc172721805"/>
      <w:r w:rsidRPr="003C6115">
        <w:t>Health-Related Social Needs</w:t>
      </w:r>
      <w:bookmarkEnd w:id="23"/>
      <w:bookmarkEnd w:id="24"/>
      <w:bookmarkEnd w:id="25"/>
    </w:p>
    <w:p w14:paraId="041B650F" w14:textId="1DF50AA0" w:rsidR="000236C0" w:rsidRDefault="000236C0" w:rsidP="00024C70">
      <w:pPr>
        <w:rPr>
          <w:rFonts w:cs="Arial"/>
          <w:szCs w:val="22"/>
        </w:rPr>
      </w:pPr>
      <w:r>
        <w:rPr>
          <w:rFonts w:cs="Arial"/>
          <w:szCs w:val="22"/>
        </w:rPr>
        <w:t xml:space="preserve">As part of pre-visit planning, we identify and address social needs as listed in the workflow below. In addition, we maintain a list of community-based and other resources, including but not limited to relevant </w:t>
      </w:r>
      <w:hyperlink r:id="rId12" w:history="1">
        <w:r w:rsidRPr="003C6115">
          <w:rPr>
            <w:rStyle w:val="Hyperlink"/>
            <w:rFonts w:ascii="Arial" w:hAnsi="Arial" w:cs="Arial"/>
            <w:sz w:val="24"/>
            <w:szCs w:val="22"/>
          </w:rPr>
          <w:t>14 Community Supports provided by DHCS</w:t>
        </w:r>
      </w:hyperlink>
      <w:r>
        <w:rPr>
          <w:rFonts w:cs="Arial"/>
          <w:szCs w:val="22"/>
        </w:rPr>
        <w:t xml:space="preserve">. </w:t>
      </w:r>
    </w:p>
    <w:p w14:paraId="2A009B63" w14:textId="77777777" w:rsidR="000236C0" w:rsidRDefault="000236C0" w:rsidP="000236C0">
      <w:pPr>
        <w:spacing w:line="276" w:lineRule="auto"/>
        <w:rPr>
          <w:rFonts w:cs="Arial"/>
          <w:szCs w:val="22"/>
        </w:rPr>
      </w:pPr>
    </w:p>
    <w:p w14:paraId="35EE16AD" w14:textId="4FD9734C" w:rsidR="000236C0" w:rsidRDefault="000236C0" w:rsidP="00980139">
      <w:pPr>
        <w:rPr>
          <w:rFonts w:cs="Arial"/>
        </w:rPr>
      </w:pPr>
      <w:r>
        <w:fldChar w:fldCharType="begin"/>
      </w:r>
      <w:r>
        <w:instrText xml:space="preserve"> INCLUDEPICTURE "https://documents.lucid.app/documents/1e5525f2-8bed-4408-bc6f-0b290e40cb73/pages/KYTI76UIost2?a=9253&amp;x=-106&amp;y=35&amp;w=1767&amp;h=1189&amp;store=1&amp;accept=image%2F*&amp;auth=LCA%20c56e792ce5ea5d1577a3d65e4df728e8fdc9afd993af439120fec1a6532be67e-ts%3D1718557532" \* MERGEFORMATINET </w:instrText>
      </w:r>
      <w:r>
        <w:fldChar w:fldCharType="separate"/>
      </w:r>
      <w:r>
        <w:rPr>
          <w:noProof/>
        </w:rPr>
        <w:drawing>
          <wp:anchor distT="0" distB="0" distL="114300" distR="114300" simplePos="0" relativeHeight="251658246" behindDoc="0" locked="0" layoutInCell="1" allowOverlap="1" wp14:anchorId="1CD3136C" wp14:editId="1F83D6AF">
            <wp:simplePos x="0" y="0"/>
            <wp:positionH relativeFrom="margin">
              <wp:align>center</wp:align>
            </wp:positionH>
            <wp:positionV relativeFrom="paragraph">
              <wp:posOffset>0</wp:posOffset>
            </wp:positionV>
            <wp:extent cx="5943600" cy="3999865"/>
            <wp:effectExtent l="0" t="0" r="0" b="635"/>
            <wp:wrapSquare wrapText="bothSides"/>
            <wp:docPr id="195167003" name="Picture 3" descr="A diagram of a patient's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7003" name="Picture 3" descr="A diagram of a patient's healt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9998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1F8D811A" w14:textId="77777777" w:rsidR="000236C0" w:rsidRPr="003C6115" w:rsidRDefault="000236C0" w:rsidP="000236C0">
      <w:pPr>
        <w:pStyle w:val="Heading1"/>
        <w:rPr>
          <w:color w:val="262626" w:themeColor="text1" w:themeTint="D9"/>
          <w:szCs w:val="22"/>
        </w:rPr>
      </w:pPr>
      <w:bookmarkStart w:id="26" w:name="_Toc172721049"/>
      <w:bookmarkStart w:id="27" w:name="_Toc172721806"/>
      <w:r>
        <w:t>T</w:t>
      </w:r>
      <w:r w:rsidRPr="003C6115">
        <w:t>herapeutic Inertia</w:t>
      </w:r>
      <w:bookmarkEnd w:id="26"/>
      <w:bookmarkEnd w:id="27"/>
    </w:p>
    <w:p w14:paraId="3FA0BEB3" w14:textId="642919CD" w:rsidR="000236C0" w:rsidRPr="000236C0" w:rsidRDefault="000236C0" w:rsidP="00024C70">
      <w:pPr>
        <w:rPr>
          <w:rFonts w:cs="Arial"/>
          <w:color w:val="262626" w:themeColor="text1" w:themeTint="D9"/>
          <w:szCs w:val="22"/>
        </w:rPr>
      </w:pPr>
      <w:r w:rsidRPr="003C6115">
        <w:rPr>
          <w:rFonts w:cs="Arial"/>
          <w:color w:val="262626" w:themeColor="text1" w:themeTint="D9"/>
          <w:szCs w:val="22"/>
        </w:rPr>
        <w:t>The A</w:t>
      </w:r>
      <w:r>
        <w:rPr>
          <w:rFonts w:cs="Arial"/>
          <w:color w:val="262626" w:themeColor="text1" w:themeTint="D9"/>
          <w:szCs w:val="22"/>
        </w:rPr>
        <w:t>DA</w:t>
      </w:r>
      <w:r w:rsidRPr="003C6115">
        <w:rPr>
          <w:rFonts w:cs="Arial"/>
          <w:color w:val="262626" w:themeColor="text1" w:themeTint="D9"/>
          <w:szCs w:val="22"/>
        </w:rPr>
        <w:t xml:space="preserve"> makes a strong case to identify and address therapeutic (or clinical inertia) by prioritizing timely and appropriate intensification of lifestyle/behavior change (nutrition and physical activity) and/or pharmacologic therapy for patients who have not achieved the recommended metabolic goals (e.g., A1C, blood pressure</w:t>
      </w:r>
      <w:r>
        <w:rPr>
          <w:rFonts w:cs="Arial"/>
          <w:color w:val="262626" w:themeColor="text1" w:themeTint="D9"/>
          <w:szCs w:val="22"/>
        </w:rPr>
        <w:t>, weight</w:t>
      </w:r>
      <w:r w:rsidRPr="003C6115">
        <w:rPr>
          <w:rFonts w:cs="Arial"/>
          <w:color w:val="262626" w:themeColor="text1" w:themeTint="D9"/>
          <w:szCs w:val="22"/>
        </w:rPr>
        <w:t xml:space="preserve"> and LDL cholesterol). </w:t>
      </w:r>
      <w:r>
        <w:rPr>
          <w:rFonts w:cs="Arial"/>
          <w:color w:val="262626" w:themeColor="text1" w:themeTint="D9"/>
          <w:szCs w:val="22"/>
        </w:rPr>
        <w:t>We deploy the following strategy to ensure none of our patients experience therapeutic inertia by our providers. [</w:t>
      </w:r>
      <w:r w:rsidRPr="00371D69">
        <w:rPr>
          <w:rFonts w:cs="Arial"/>
          <w:color w:val="262626" w:themeColor="text1" w:themeTint="D9"/>
          <w:szCs w:val="22"/>
          <w:highlight w:val="yellow"/>
        </w:rPr>
        <w:t xml:space="preserve">Insert chart review process. Consider reviewing the approaches and tools provided by the </w:t>
      </w:r>
      <w:hyperlink r:id="rId14" w:history="1">
        <w:r w:rsidRPr="00371D69">
          <w:rPr>
            <w:rStyle w:val="Hyperlink"/>
            <w:rFonts w:ascii="Arial" w:hAnsi="Arial" w:cs="Arial"/>
            <w:sz w:val="24"/>
            <w:szCs w:val="22"/>
            <w:highlight w:val="yellow"/>
          </w:rPr>
          <w:t>ADA’s Overcoming Therapeutic Inertia initiative</w:t>
        </w:r>
      </w:hyperlink>
      <w:r w:rsidRPr="00371D69">
        <w:rPr>
          <w:rFonts w:cs="Arial"/>
          <w:color w:val="262626" w:themeColor="text1" w:themeTint="D9"/>
          <w:szCs w:val="22"/>
          <w:highlight w:val="yellow"/>
        </w:rPr>
        <w:t>.</w:t>
      </w:r>
      <w:r>
        <w:rPr>
          <w:rFonts w:cs="Arial"/>
          <w:color w:val="262626" w:themeColor="text1" w:themeTint="D9"/>
          <w:szCs w:val="22"/>
        </w:rPr>
        <w:t xml:space="preserve">] </w:t>
      </w:r>
    </w:p>
    <w:p w14:paraId="270BE198" w14:textId="09E8B627" w:rsidR="008053D7" w:rsidRPr="00F73653" w:rsidRDefault="008816C0" w:rsidP="008053D7">
      <w:pPr>
        <w:pStyle w:val="Heading1"/>
        <w:rPr>
          <w:rFonts w:cs="Arial"/>
        </w:rPr>
      </w:pPr>
      <w:bookmarkStart w:id="28" w:name="_Toc172721050"/>
      <w:bookmarkStart w:id="29" w:name="_Toc172721807"/>
      <w:r>
        <w:rPr>
          <w:rFonts w:cs="Arial"/>
        </w:rPr>
        <w:t>Before the Visit</w:t>
      </w:r>
      <w:bookmarkEnd w:id="28"/>
      <w:bookmarkEnd w:id="29"/>
    </w:p>
    <w:p w14:paraId="095DA5E0" w14:textId="5512F02F" w:rsidR="008053D7" w:rsidRDefault="008816C0" w:rsidP="008816C0">
      <w:pPr>
        <w:rPr>
          <w:rFonts w:cs="Arial"/>
          <w:szCs w:val="22"/>
        </w:rPr>
      </w:pPr>
      <w:r>
        <w:rPr>
          <w:noProof/>
        </w:rPr>
        <mc:AlternateContent>
          <mc:Choice Requires="wps">
            <w:drawing>
              <wp:anchor distT="0" distB="0" distL="114300" distR="114300" simplePos="0" relativeHeight="251658240" behindDoc="0" locked="0" layoutInCell="1" allowOverlap="1" wp14:anchorId="201284AB" wp14:editId="797DC7D2">
                <wp:simplePos x="0" y="0"/>
                <wp:positionH relativeFrom="column">
                  <wp:posOffset>0</wp:posOffset>
                </wp:positionH>
                <wp:positionV relativeFrom="paragraph">
                  <wp:posOffset>493688</wp:posOffset>
                </wp:positionV>
                <wp:extent cx="6400800" cy="311285"/>
                <wp:effectExtent l="0" t="0" r="19050" b="16510"/>
                <wp:wrapTopAndBottom/>
                <wp:docPr id="1830129673" name="Text Box 1"/>
                <wp:cNvGraphicFramePr/>
                <a:graphic xmlns:a="http://schemas.openxmlformats.org/drawingml/2006/main">
                  <a:graphicData uri="http://schemas.microsoft.com/office/word/2010/wordprocessingShape">
                    <wps:wsp>
                      <wps:cNvSpPr txBox="1"/>
                      <wps:spPr>
                        <a:xfrm>
                          <a:off x="0" y="0"/>
                          <a:ext cx="6400800" cy="311285"/>
                        </a:xfrm>
                        <a:prstGeom prst="rect">
                          <a:avLst/>
                        </a:prstGeom>
                        <a:solidFill>
                          <a:schemeClr val="lt1"/>
                        </a:solidFill>
                        <a:ln w="6350">
                          <a:solidFill>
                            <a:prstClr val="black"/>
                          </a:solidFill>
                        </a:ln>
                      </wps:spPr>
                      <wps:txbx>
                        <w:txbxContent>
                          <w:p w14:paraId="23102EDF" w14:textId="6F22DB13" w:rsidR="008816C0" w:rsidRPr="008816C0" w:rsidRDefault="008816C0" w:rsidP="008816C0">
                            <w:pPr>
                              <w:rPr>
                                <w:rFonts w:cs="Arial"/>
                              </w:rPr>
                            </w:pPr>
                            <w:r>
                              <w:rPr>
                                <w:rFonts w:cs="Arial"/>
                              </w:rPr>
                              <w:t>Insert the current process and/or workflow for pre-visit planning and chart scrubs, ensuring there are no missed opportunities (i.e., we saw the patient but neglected to identify and address gaps in care). Even if chart scrubs are done a day or two in advance, best practice is to ensure that gaps in care are identified and addressed for everyone, including same-day, walk-ins and virtual visits.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01284AB" id="_x0000_t202" coordsize="21600,21600" o:spt="202" path="m,l,21600r21600,l21600,xe">
                <v:stroke joinstyle="miter"/>
                <v:path gradientshapeok="t" o:connecttype="rect"/>
              </v:shapetype>
              <v:shape id="Text Box 1" o:spid="_x0000_s1026" type="#_x0000_t202" style="position:absolute;margin-left:0;margin-top:38.85pt;width:7in;height:2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" fillcolor="white [3201]" strokeweight=".5pt">
                <v:textbox style="mso-fit-shape-to-text:t">
                  <w:txbxContent>
                    <w:p w14:paraId="23102EDF" w14:textId="6F22DB13" w:rsidR="008816C0" w:rsidRPr="008816C0" w:rsidRDefault="008816C0" w:rsidP="008816C0">
                      <w:pPr>
                        <w:rPr>
                          <w:rFonts w:cs="Arial"/>
                        </w:rPr>
                      </w:pPr>
                      <w:r>
                        <w:rPr>
                          <w:rFonts w:cs="Arial"/>
                        </w:rPr>
                        <w:t>Insert the current process and/or workflow for pre-visit planning and chart scrubs, ensuring there are no missed opportunities (i.e., we saw the patient but neglected to identify and address gaps in care). Even if chart scrubs are done a day or two in advance, best practice is to ensure that gaps in care are identified and addressed for everyone, including same-day, walk-ins and virtual visits.</w:t>
                      </w:r>
                    </w:p>
                  </w:txbxContent>
                </v:textbox>
                <w10:wrap type="topAndBottom"/>
              </v:shape>
            </w:pict>
          </mc:Fallback>
        </mc:AlternateContent>
      </w:r>
      <w:r>
        <w:rPr>
          <w:rFonts w:cs="Arial"/>
          <w:szCs w:val="22"/>
        </w:rPr>
        <w:t>Regardless of the reason for a visit, we identify and address preventive and chronic gaps in care for all patients through pre-visit planning and chart scrubs.</w:t>
      </w:r>
    </w:p>
    <w:p w14:paraId="13338D7D" w14:textId="551572D5" w:rsidR="008816C0" w:rsidRDefault="008816C0" w:rsidP="008816C0">
      <w:pPr>
        <w:rPr>
          <w:rFonts w:cs="Arial"/>
          <w:szCs w:val="22"/>
        </w:rPr>
      </w:pPr>
    </w:p>
    <w:p w14:paraId="759D3FD7" w14:textId="32E34373" w:rsidR="008816C0" w:rsidRPr="008718C4" w:rsidRDefault="008816C0" w:rsidP="008816C0">
      <w:pPr>
        <w:rPr>
          <w:rFonts w:cs="Arial"/>
        </w:rPr>
      </w:pPr>
      <w:r>
        <w:rPr>
          <w:rFonts w:cs="Arial"/>
          <w:noProof/>
          <w:szCs w:val="22"/>
        </w:rPr>
        <mc:AlternateContent>
          <mc:Choice Requires="wps">
            <w:drawing>
              <wp:anchor distT="0" distB="0" distL="114300" distR="114300" simplePos="0" relativeHeight="251658241" behindDoc="0" locked="0" layoutInCell="1" allowOverlap="1" wp14:anchorId="07F6E330" wp14:editId="206788E1">
                <wp:simplePos x="0" y="0"/>
                <wp:positionH relativeFrom="column">
                  <wp:posOffset>4466590</wp:posOffset>
                </wp:positionH>
                <wp:positionV relativeFrom="paragraph">
                  <wp:posOffset>129608</wp:posOffset>
                </wp:positionV>
                <wp:extent cx="1838312" cy="1215958"/>
                <wp:effectExtent l="0" t="0" r="16510" b="10160"/>
                <wp:wrapSquare wrapText="bothSides"/>
                <wp:docPr id="98173908" name="Text Box 3"/>
                <wp:cNvGraphicFramePr/>
                <a:graphic xmlns:a="http://schemas.openxmlformats.org/drawingml/2006/main">
                  <a:graphicData uri="http://schemas.microsoft.com/office/word/2010/wordprocessingShape">
                    <wps:wsp>
                      <wps:cNvSpPr txBox="1"/>
                      <wps:spPr>
                        <a:xfrm>
                          <a:off x="0" y="0"/>
                          <a:ext cx="1838312" cy="1215958"/>
                        </a:xfrm>
                        <a:prstGeom prst="rect">
                          <a:avLst/>
                        </a:prstGeom>
                        <a:solidFill>
                          <a:schemeClr val="lt1"/>
                        </a:solidFill>
                        <a:ln w="6350">
                          <a:solidFill>
                            <a:prstClr val="black"/>
                          </a:solidFill>
                        </a:ln>
                      </wps:spPr>
                      <wps:txbx>
                        <w:txbxContent>
                          <w:p w14:paraId="489712D8" w14:textId="6E004EC0" w:rsidR="008816C0" w:rsidRPr="008816C0" w:rsidRDefault="008816C0">
                            <w:pPr>
                              <w:rPr>
                                <w:rFonts w:cs="Arial"/>
                                <w:color w:val="000000" w:themeColor="text1"/>
                                <w:sz w:val="20"/>
                                <w:szCs w:val="20"/>
                              </w:rPr>
                            </w:pPr>
                            <w:r w:rsidRPr="008816C0">
                              <w:rPr>
                                <w:rFonts w:cs="Arial"/>
                                <w:color w:val="000000" w:themeColor="text1"/>
                                <w:sz w:val="20"/>
                                <w:szCs w:val="20"/>
                              </w:rPr>
                              <w:t xml:space="preserve">Refer to </w:t>
                            </w:r>
                            <w:hyperlink r:id="rId15" w:history="1">
                              <w:r w:rsidRPr="008816C0">
                                <w:rPr>
                                  <w:rStyle w:val="Hyperlink"/>
                                  <w:rFonts w:ascii="Arial" w:hAnsi="Arial" w:cs="Arial"/>
                                  <w:sz w:val="20"/>
                                  <w:szCs w:val="20"/>
                                  <w:bdr w:val="none" w:sz="0" w:space="0" w:color="auto" w:frame="1"/>
                                  <w:shd w:val="clear" w:color="auto" w:fill="FFFFFF"/>
                                </w:rPr>
                                <w:t>Table 4.1</w:t>
                              </w:r>
                              <w:r w:rsidRPr="008816C0">
                                <w:rPr>
                                  <w:rStyle w:val="Hyperlink"/>
                                  <w:rFonts w:ascii="Arial" w:hAnsi="Arial" w:cs="Arial"/>
                                  <w:sz w:val="20"/>
                                  <w:szCs w:val="20"/>
                                </w:rPr>
                                <w:t xml:space="preserve"> Components of the comprehensive diabetes medical evaluation at initial, follow-up, and annual visits</w:t>
                              </w:r>
                            </w:hyperlink>
                            <w:r>
                              <w:rPr>
                                <w:rFonts w:cs="Arial"/>
                                <w:color w:val="000000" w:themeColor="text1"/>
                                <w:sz w:val="20"/>
                                <w:szCs w:val="20"/>
                                <w:bdr w:val="none" w:sz="0" w:space="0" w:color="auto" w:frame="1"/>
                                <w:shd w:val="clear" w:color="auto" w:fill="FFFFFF"/>
                              </w:rPr>
                              <w:t xml:space="preserve"> for additional standing order considerations.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F6E330" id="Text Box 3" o:spid="_x0000_s1027" type="#_x0000_t202" style="position:absolute;margin-left:351.7pt;margin-top:10.2pt;width:144.75pt;height:95.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" fillcolor="white [3201]" strokeweight=".5pt">
                <v:textbox style="mso-fit-shape-to-text:t">
                  <w:txbxContent>
                    <w:p w14:paraId="489712D8" w14:textId="6E004EC0" w:rsidR="008816C0" w:rsidRPr="008816C0" w:rsidRDefault="008816C0">
                      <w:pPr>
                        <w:rPr>
                          <w:rFonts w:cs="Arial"/>
                          <w:color w:val="000000" w:themeColor="text1"/>
                          <w:sz w:val="20"/>
                          <w:szCs w:val="20"/>
                        </w:rPr>
                      </w:pPr>
                      <w:r w:rsidRPr="008816C0">
                        <w:rPr>
                          <w:rFonts w:cs="Arial"/>
                          <w:color w:val="000000" w:themeColor="text1"/>
                          <w:sz w:val="20"/>
                          <w:szCs w:val="20"/>
                        </w:rPr>
                        <w:t xml:space="preserve">Refer to </w:t>
                      </w:r>
                      <w:hyperlink r:id="rId16" w:history="1">
                        <w:r w:rsidRPr="008816C0">
                          <w:rPr>
                            <w:rStyle w:val="Hyperlink"/>
                            <w:rFonts w:ascii="Arial" w:hAnsi="Arial" w:cs="Arial"/>
                            <w:sz w:val="20"/>
                            <w:szCs w:val="20"/>
                            <w:bdr w:val="none" w:sz="0" w:space="0" w:color="auto" w:frame="1"/>
                            <w:shd w:val="clear" w:color="auto" w:fill="FFFFFF"/>
                          </w:rPr>
                          <w:t>Table 4.1</w:t>
                        </w:r>
                        <w:r w:rsidRPr="008816C0">
                          <w:rPr>
                            <w:rStyle w:val="Hyperlink"/>
                            <w:rFonts w:ascii="Arial" w:hAnsi="Arial" w:cs="Arial"/>
                            <w:sz w:val="20"/>
                            <w:szCs w:val="20"/>
                          </w:rPr>
                          <w:t xml:space="preserve"> Components of the comprehensive diabetes medical evaluation at initial, follow-up, and annual visits</w:t>
                        </w:r>
                      </w:hyperlink>
                      <w:r>
                        <w:rPr>
                          <w:rFonts w:cs="Arial"/>
                          <w:color w:val="000000" w:themeColor="text1"/>
                          <w:sz w:val="20"/>
                          <w:szCs w:val="20"/>
                          <w:bdr w:val="none" w:sz="0" w:space="0" w:color="auto" w:frame="1"/>
                          <w:shd w:val="clear" w:color="auto" w:fill="FFFFFF"/>
                        </w:rPr>
                        <w:t xml:space="preserve"> for additional standing order considerations.</w:t>
                      </w:r>
                    </w:p>
                  </w:txbxContent>
                </v:textbox>
                <w10:wrap type="square"/>
              </v:shape>
            </w:pict>
          </mc:Fallback>
        </mc:AlternateContent>
      </w:r>
      <w:r>
        <w:rPr>
          <w:rFonts w:cs="Arial"/>
          <w:szCs w:val="22"/>
        </w:rPr>
        <w:t>All</w:t>
      </w:r>
      <w:r w:rsidRPr="008718C4">
        <w:rPr>
          <w:rFonts w:cs="Arial"/>
        </w:rPr>
        <w:t xml:space="preserve"> adults with T2D should have standing orders for the following (at a minimum):</w:t>
      </w:r>
    </w:p>
    <w:p w14:paraId="1C13A716" w14:textId="20B07B65" w:rsidR="008816C0" w:rsidRPr="008718C4" w:rsidRDefault="008816C0" w:rsidP="008816C0">
      <w:pPr>
        <w:pStyle w:val="ListParagraph"/>
        <w:numPr>
          <w:ilvl w:val="0"/>
          <w:numId w:val="24"/>
        </w:numPr>
        <w:rPr>
          <w:rFonts w:cs="Arial"/>
          <w:sz w:val="24"/>
          <w:szCs w:val="24"/>
        </w:rPr>
      </w:pPr>
      <w:r w:rsidRPr="008718C4">
        <w:rPr>
          <w:rFonts w:cs="Arial"/>
          <w:sz w:val="24"/>
          <w:szCs w:val="24"/>
        </w:rPr>
        <w:t>A1Cs – every three months if ≥ 7%, every six months if &lt; 7%, or as per frequency determined by PCP</w:t>
      </w:r>
    </w:p>
    <w:p w14:paraId="6A57D8B7" w14:textId="15131A15" w:rsidR="008816C0" w:rsidRPr="008718C4" w:rsidRDefault="008816C0" w:rsidP="008816C0">
      <w:pPr>
        <w:pStyle w:val="ListParagraph"/>
        <w:numPr>
          <w:ilvl w:val="0"/>
          <w:numId w:val="24"/>
        </w:numPr>
        <w:rPr>
          <w:rFonts w:cs="Arial"/>
          <w:sz w:val="24"/>
          <w:szCs w:val="24"/>
        </w:rPr>
      </w:pPr>
      <w:r w:rsidRPr="008718C4">
        <w:rPr>
          <w:rFonts w:cs="Arial"/>
          <w:sz w:val="24"/>
          <w:szCs w:val="24"/>
        </w:rPr>
        <w:t xml:space="preserve">Fasting lipid panel – 4-12 weeks after initiation or change in </w:t>
      </w:r>
      <w:r w:rsidR="00A37C3D">
        <w:rPr>
          <w:rFonts w:cs="Arial"/>
          <w:sz w:val="24"/>
          <w:szCs w:val="24"/>
        </w:rPr>
        <w:t xml:space="preserve">statin </w:t>
      </w:r>
      <w:r w:rsidRPr="008718C4">
        <w:rPr>
          <w:rFonts w:cs="Arial"/>
          <w:sz w:val="24"/>
          <w:szCs w:val="24"/>
        </w:rPr>
        <w:t>dose then annually</w:t>
      </w:r>
    </w:p>
    <w:p w14:paraId="0B38AF05" w14:textId="683B4AF8" w:rsidR="008816C0" w:rsidRPr="008718C4" w:rsidRDefault="008816C0" w:rsidP="008816C0">
      <w:pPr>
        <w:pStyle w:val="ListParagraph"/>
        <w:numPr>
          <w:ilvl w:val="0"/>
          <w:numId w:val="24"/>
        </w:numPr>
        <w:rPr>
          <w:rFonts w:cs="Arial"/>
          <w:sz w:val="24"/>
          <w:szCs w:val="24"/>
        </w:rPr>
      </w:pPr>
      <w:r w:rsidRPr="008718C4">
        <w:rPr>
          <w:rFonts w:cs="Arial"/>
          <w:sz w:val="24"/>
          <w:szCs w:val="24"/>
        </w:rPr>
        <w:t>Spot urinary albumin-to-creatinine ratio (</w:t>
      </w:r>
      <w:proofErr w:type="spellStart"/>
      <w:r w:rsidRPr="008718C4">
        <w:rPr>
          <w:rFonts w:cs="Arial"/>
          <w:sz w:val="24"/>
          <w:szCs w:val="24"/>
        </w:rPr>
        <w:t>uACR</w:t>
      </w:r>
      <w:proofErr w:type="spellEnd"/>
      <w:r w:rsidRPr="008718C4">
        <w:rPr>
          <w:rFonts w:cs="Arial"/>
          <w:sz w:val="24"/>
          <w:szCs w:val="24"/>
        </w:rPr>
        <w:t>)</w:t>
      </w:r>
      <w:r w:rsidR="00A37C3D">
        <w:rPr>
          <w:rFonts w:cs="Arial"/>
          <w:sz w:val="24"/>
          <w:szCs w:val="24"/>
        </w:rPr>
        <w:t xml:space="preserve"> annually</w:t>
      </w:r>
    </w:p>
    <w:p w14:paraId="5BA44F8A" w14:textId="2E490105" w:rsidR="008816C0" w:rsidRPr="008718C4" w:rsidRDefault="008816C0" w:rsidP="008816C0">
      <w:pPr>
        <w:pStyle w:val="ListParagraph"/>
        <w:numPr>
          <w:ilvl w:val="0"/>
          <w:numId w:val="24"/>
        </w:numPr>
        <w:rPr>
          <w:rFonts w:cs="Arial"/>
          <w:sz w:val="24"/>
          <w:szCs w:val="24"/>
        </w:rPr>
      </w:pPr>
      <w:r w:rsidRPr="008718C4">
        <w:rPr>
          <w:rFonts w:cs="Arial"/>
          <w:sz w:val="24"/>
          <w:szCs w:val="24"/>
        </w:rPr>
        <w:t>Serum creatinine and estimated glomerular filtration rate (eGFR)</w:t>
      </w:r>
      <w:r w:rsidR="00A37C3D">
        <w:rPr>
          <w:rFonts w:cs="Arial"/>
          <w:sz w:val="24"/>
          <w:szCs w:val="24"/>
        </w:rPr>
        <w:t xml:space="preserve"> annually</w:t>
      </w:r>
    </w:p>
    <w:p w14:paraId="783188EC" w14:textId="148B233E" w:rsidR="008816C0" w:rsidRPr="008718C4" w:rsidRDefault="008816C0" w:rsidP="008816C0">
      <w:pPr>
        <w:pStyle w:val="ListParagraph"/>
        <w:numPr>
          <w:ilvl w:val="0"/>
          <w:numId w:val="24"/>
        </w:numPr>
        <w:rPr>
          <w:rFonts w:cs="Arial"/>
          <w:sz w:val="24"/>
          <w:szCs w:val="24"/>
        </w:rPr>
      </w:pPr>
      <w:r w:rsidRPr="008718C4">
        <w:rPr>
          <w:rFonts w:cs="Arial"/>
          <w:sz w:val="24"/>
          <w:szCs w:val="24"/>
        </w:rPr>
        <w:t>Dilated eye exam</w:t>
      </w:r>
      <w:r w:rsidR="00A37C3D">
        <w:rPr>
          <w:rFonts w:cs="Arial"/>
          <w:sz w:val="24"/>
          <w:szCs w:val="24"/>
        </w:rPr>
        <w:t xml:space="preserve"> annually</w:t>
      </w:r>
    </w:p>
    <w:p w14:paraId="0CA9A294" w14:textId="46908C9D" w:rsidR="008816C0" w:rsidRPr="008718C4" w:rsidRDefault="008816C0" w:rsidP="008816C0">
      <w:pPr>
        <w:pStyle w:val="ListParagraph"/>
        <w:numPr>
          <w:ilvl w:val="0"/>
          <w:numId w:val="24"/>
        </w:numPr>
        <w:rPr>
          <w:rFonts w:cs="Arial"/>
          <w:sz w:val="24"/>
          <w:szCs w:val="24"/>
        </w:rPr>
      </w:pPr>
      <w:r w:rsidRPr="008718C4">
        <w:rPr>
          <w:rFonts w:cs="Arial"/>
          <w:sz w:val="24"/>
          <w:szCs w:val="24"/>
        </w:rPr>
        <w:t>Referrals for Diabetes Self-Management Education and Support (DSMES)</w:t>
      </w:r>
    </w:p>
    <w:p w14:paraId="36986377" w14:textId="487BD510" w:rsidR="00AA65D4" w:rsidRPr="00F73653" w:rsidRDefault="008816C0" w:rsidP="006977C6">
      <w:pPr>
        <w:pStyle w:val="Heading1"/>
        <w:rPr>
          <w:rFonts w:cs="Arial"/>
        </w:rPr>
      </w:pPr>
      <w:bookmarkStart w:id="30" w:name="_Toc172721051"/>
      <w:bookmarkStart w:id="31" w:name="_Toc172721808"/>
      <w:r>
        <w:rPr>
          <w:rFonts w:cs="Arial"/>
        </w:rPr>
        <w:t>During the Visit</w:t>
      </w:r>
      <w:bookmarkEnd w:id="30"/>
      <w:bookmarkEnd w:id="31"/>
    </w:p>
    <w:p w14:paraId="4FC82818" w14:textId="72BE4658" w:rsidR="00D331EC" w:rsidRDefault="008816C0" w:rsidP="00487D70">
      <w:pPr>
        <w:rPr>
          <w:rFonts w:cs="Arial"/>
        </w:rPr>
      </w:pPr>
      <w:r w:rsidRPr="00D331EC">
        <w:rPr>
          <w:rFonts w:cs="Arial"/>
          <w:highlight w:val="white"/>
        </w:rPr>
        <w:t xml:space="preserve">Recognizing that visit times may be too short to address patient-specific concerns as well to address every guideline and recommendation for adults with T2D, the following may be addressed over several visits or with others on our interprofessional care team to ensure that </w:t>
      </w:r>
      <w:r w:rsidR="00312343">
        <w:rPr>
          <w:rFonts w:cs="Arial"/>
          <w:highlight w:val="white"/>
        </w:rPr>
        <w:t xml:space="preserve">comprehensive </w:t>
      </w:r>
      <w:r w:rsidRPr="00D331EC">
        <w:rPr>
          <w:rFonts w:cs="Arial"/>
          <w:highlight w:val="white"/>
        </w:rPr>
        <w:t>guideline-concordant care is delivered.</w:t>
      </w:r>
    </w:p>
    <w:p w14:paraId="20F6A5CC" w14:textId="77777777" w:rsidR="00D331EC" w:rsidRDefault="00D331EC" w:rsidP="00487D70">
      <w:pPr>
        <w:rPr>
          <w:rFonts w:cs="Arial"/>
        </w:rPr>
      </w:pPr>
    </w:p>
    <w:p w14:paraId="4531A742" w14:textId="77777777" w:rsidR="00D331EC" w:rsidRDefault="00D331EC" w:rsidP="00487D70">
      <w:pPr>
        <w:rPr>
          <w:rFonts w:cs="Arial"/>
        </w:rPr>
      </w:pPr>
      <w:r>
        <w:rPr>
          <w:rFonts w:cs="Arial"/>
        </w:rPr>
        <w:t>Check</w:t>
      </w:r>
      <w:r w:rsidR="008816C0" w:rsidRPr="00D331EC">
        <w:rPr>
          <w:rFonts w:cs="Arial"/>
        </w:rPr>
        <w:t xml:space="preserve"> </w:t>
      </w:r>
      <w:hyperlink r:id="rId17" w:history="1">
        <w:r w:rsidR="008816C0" w:rsidRPr="00D331EC">
          <w:rPr>
            <w:rStyle w:val="Hyperlink"/>
            <w:rFonts w:ascii="Arial" w:eastAsiaTheme="majorEastAsia" w:hAnsi="Arial" w:cs="Arial"/>
            <w:sz w:val="24"/>
            <w:highlight w:val="white"/>
          </w:rPr>
          <w:t>Table 4.1 – Components of the comprehensive diabetes medical evaluation at initial, follow-up, and annual visits</w:t>
        </w:r>
      </w:hyperlink>
      <w:r>
        <w:rPr>
          <w:rFonts w:cs="Arial"/>
        </w:rPr>
        <w:t xml:space="preserve"> for the ADA recommendations for 2024.</w:t>
      </w:r>
    </w:p>
    <w:p w14:paraId="6795EDAA" w14:textId="77777777" w:rsidR="00D331EC" w:rsidRDefault="00D331EC" w:rsidP="00487D70">
      <w:pPr>
        <w:rPr>
          <w:rFonts w:cs="Arial"/>
        </w:rPr>
      </w:pPr>
    </w:p>
    <w:p w14:paraId="56B40597" w14:textId="7DCB87B8" w:rsidR="008816C0" w:rsidRPr="00D331EC" w:rsidRDefault="008816C0" w:rsidP="00487D70">
      <w:pPr>
        <w:rPr>
          <w:rFonts w:cs="Arial"/>
        </w:rPr>
      </w:pPr>
      <w:r w:rsidRPr="00D331EC">
        <w:rPr>
          <w:rFonts w:cs="Arial"/>
        </w:rPr>
        <w:t>For each of the components below, we follow the most current ADA Standards of Care.</w:t>
      </w:r>
    </w:p>
    <w:p w14:paraId="5EECE10F" w14:textId="77777777" w:rsidR="008816C0" w:rsidRPr="00D331EC" w:rsidRDefault="008816C0" w:rsidP="00487D70">
      <w:pPr>
        <w:rPr>
          <w:rFonts w:cs="Arial"/>
        </w:rPr>
      </w:pPr>
    </w:p>
    <w:p w14:paraId="002CDF83" w14:textId="7CB0CC28" w:rsidR="008816C0" w:rsidRDefault="008816C0" w:rsidP="008718C4">
      <w:pPr>
        <w:pStyle w:val="ListParagraph"/>
        <w:numPr>
          <w:ilvl w:val="0"/>
          <w:numId w:val="26"/>
        </w:numPr>
      </w:pPr>
      <w:r w:rsidRPr="00D331EC">
        <w:rPr>
          <w:rFonts w:cs="Arial"/>
          <w:sz w:val="24"/>
          <w:szCs w:val="24"/>
        </w:rPr>
        <w:t>Blood pressure – measure at every routine clinical visit and treat to goal</w:t>
      </w:r>
      <w:r>
        <w:rPr>
          <w:rStyle w:val="FootnoteReference"/>
        </w:rPr>
        <w:footnoteReference w:id="7"/>
      </w:r>
    </w:p>
    <w:p w14:paraId="77F64063" w14:textId="67068518" w:rsidR="008816C0" w:rsidRPr="00024C70" w:rsidRDefault="008816C0" w:rsidP="008816C0">
      <w:pPr>
        <w:pStyle w:val="ListParagraph"/>
        <w:numPr>
          <w:ilvl w:val="0"/>
          <w:numId w:val="26"/>
        </w:numPr>
        <w:rPr>
          <w:sz w:val="24"/>
          <w:szCs w:val="24"/>
        </w:rPr>
      </w:pPr>
      <w:r w:rsidRPr="00024C70">
        <w:rPr>
          <w:sz w:val="24"/>
          <w:szCs w:val="24"/>
        </w:rPr>
        <w:t>Bone health and fracture risk assessed in older adults with diabetes.</w:t>
      </w:r>
    </w:p>
    <w:p w14:paraId="00E2AF6A" w14:textId="685AB08A" w:rsidR="008816C0" w:rsidRDefault="008816C0" w:rsidP="008816C0">
      <w:pPr>
        <w:pStyle w:val="ListParagraph"/>
      </w:pPr>
      <w:r w:rsidRPr="008816C0">
        <w:rPr>
          <w:noProof/>
        </w:rPr>
        <w:drawing>
          <wp:anchor distT="0" distB="0" distL="114300" distR="114300" simplePos="0" relativeHeight="251658242" behindDoc="0" locked="0" layoutInCell="1" allowOverlap="1" wp14:anchorId="7A338741" wp14:editId="62D381EE">
            <wp:simplePos x="0" y="0"/>
            <wp:positionH relativeFrom="margin">
              <wp:align>center</wp:align>
            </wp:positionH>
            <wp:positionV relativeFrom="paragraph">
              <wp:posOffset>1270</wp:posOffset>
            </wp:positionV>
            <wp:extent cx="4114800" cy="931863"/>
            <wp:effectExtent l="0" t="0" r="0" b="0"/>
            <wp:wrapSquare wrapText="bothSides"/>
            <wp:docPr id="1401848937" name="New picture" descr="A diagram of a health and nutrition&#10;&#10;Description automatically generated with medium confidence">
              <a:extLst xmlns:a="http://schemas.openxmlformats.org/drawingml/2006/main">
                <a:ext uri="{FF2B5EF4-FFF2-40B4-BE49-F238E27FC236}">
                  <a16:creationId xmlns:a16="http://schemas.microsoft.com/office/drawing/2014/main" id="{175E1009-8A00-2CF3-5DE2-4C714628B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48937" name="New picture" descr="A diagram of a health and nutrition&#10;&#10;Description automatically generated with medium confidence">
                      <a:extLst>
                        <a:ext uri="{FF2B5EF4-FFF2-40B4-BE49-F238E27FC236}">
                          <a16:creationId xmlns:a16="http://schemas.microsoft.com/office/drawing/2014/main" id="{175E1009-8A00-2CF3-5DE2-4C714628BCD5}"/>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9318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36B62" w14:textId="77777777" w:rsidR="008816C0" w:rsidRPr="008816C0" w:rsidRDefault="008816C0" w:rsidP="008816C0">
      <w:pPr>
        <w:pStyle w:val="ListParagraph"/>
        <w:rPr>
          <w:rFonts w:cs="Arial"/>
          <w:highlight w:val="white"/>
        </w:rPr>
      </w:pPr>
      <w:bookmarkStart w:id="32" w:name="_Toc164061485"/>
    </w:p>
    <w:p w14:paraId="18573AE7" w14:textId="77777777" w:rsidR="008816C0" w:rsidRPr="008816C0" w:rsidRDefault="008816C0" w:rsidP="008816C0">
      <w:pPr>
        <w:pStyle w:val="ListParagraph"/>
        <w:rPr>
          <w:rFonts w:cs="Arial"/>
          <w:highlight w:val="white"/>
        </w:rPr>
      </w:pPr>
    </w:p>
    <w:p w14:paraId="4D77FF22" w14:textId="77777777" w:rsidR="008816C0" w:rsidRPr="008816C0" w:rsidRDefault="008816C0" w:rsidP="008816C0">
      <w:pPr>
        <w:pStyle w:val="ListParagraph"/>
        <w:rPr>
          <w:rFonts w:cs="Arial"/>
          <w:highlight w:val="white"/>
        </w:rPr>
      </w:pPr>
    </w:p>
    <w:p w14:paraId="476F39EB" w14:textId="77777777" w:rsidR="008816C0" w:rsidRPr="008816C0" w:rsidRDefault="008816C0" w:rsidP="008816C0">
      <w:pPr>
        <w:pStyle w:val="ListParagraph"/>
        <w:rPr>
          <w:rFonts w:cs="Arial"/>
          <w:highlight w:val="white"/>
        </w:rPr>
      </w:pPr>
    </w:p>
    <w:p w14:paraId="59D88783" w14:textId="77777777" w:rsidR="008816C0" w:rsidRPr="008816C0" w:rsidRDefault="008816C0" w:rsidP="008816C0">
      <w:pPr>
        <w:pStyle w:val="ListParagraph"/>
        <w:rPr>
          <w:rFonts w:cs="Arial"/>
          <w:highlight w:val="white"/>
        </w:rPr>
      </w:pPr>
    </w:p>
    <w:p w14:paraId="2B30DAFF" w14:textId="110DCF5B" w:rsidR="008816C0" w:rsidRPr="008718C4" w:rsidRDefault="008816C0" w:rsidP="008816C0">
      <w:pPr>
        <w:pStyle w:val="ListParagraph"/>
        <w:numPr>
          <w:ilvl w:val="0"/>
          <w:numId w:val="26"/>
        </w:numPr>
        <w:rPr>
          <w:rFonts w:cs="Arial"/>
          <w:sz w:val="24"/>
          <w:szCs w:val="24"/>
          <w:highlight w:val="white"/>
        </w:rPr>
      </w:pPr>
      <w:r w:rsidRPr="008718C4">
        <w:rPr>
          <w:rFonts w:cs="Arial"/>
          <w:sz w:val="24"/>
          <w:szCs w:val="24"/>
          <w:highlight w:val="white"/>
        </w:rPr>
        <w:t>Cancer</w:t>
      </w:r>
      <w:bookmarkEnd w:id="32"/>
      <w:r w:rsidRPr="008718C4">
        <w:rPr>
          <w:rFonts w:cs="Arial"/>
          <w:sz w:val="24"/>
          <w:szCs w:val="24"/>
          <w:highlight w:val="white"/>
        </w:rPr>
        <w:t xml:space="preserve"> - People with diabetes are at risk for several cancers and should be encouraged to complete recommended age- and sex-appropriate cancer screenings.</w:t>
      </w:r>
    </w:p>
    <w:p w14:paraId="29219369" w14:textId="43B32232" w:rsidR="008816C0" w:rsidRPr="008718C4" w:rsidRDefault="008816C0" w:rsidP="008816C0">
      <w:pPr>
        <w:pStyle w:val="ListParagraph"/>
        <w:numPr>
          <w:ilvl w:val="0"/>
          <w:numId w:val="26"/>
        </w:numPr>
        <w:rPr>
          <w:rFonts w:cs="Arial"/>
          <w:sz w:val="24"/>
          <w:szCs w:val="24"/>
          <w:highlight w:val="white"/>
        </w:rPr>
      </w:pPr>
      <w:r w:rsidRPr="008718C4">
        <w:rPr>
          <w:rFonts w:cs="Arial"/>
          <w:sz w:val="24"/>
          <w:szCs w:val="24"/>
          <w:highlight w:val="white"/>
        </w:rPr>
        <w:t>Cardiovascular disease</w:t>
      </w:r>
      <w:r w:rsidRPr="008718C4">
        <w:rPr>
          <w:rStyle w:val="FootnoteReference"/>
          <w:rFonts w:cs="Arial"/>
          <w:sz w:val="24"/>
          <w:szCs w:val="24"/>
          <w:highlight w:val="white"/>
        </w:rPr>
        <w:footnoteReference w:id="8"/>
      </w:r>
      <w:r w:rsidRPr="008718C4">
        <w:rPr>
          <w:rFonts w:cs="Arial"/>
          <w:sz w:val="24"/>
          <w:szCs w:val="24"/>
          <w:highlight w:val="white"/>
        </w:rPr>
        <w:t xml:space="preserve"> </w:t>
      </w:r>
    </w:p>
    <w:p w14:paraId="21C97FD0" w14:textId="77777777" w:rsidR="00D331EC" w:rsidRPr="008718C4" w:rsidRDefault="00D331EC" w:rsidP="00D331EC">
      <w:pPr>
        <w:pStyle w:val="ListParagraph"/>
        <w:numPr>
          <w:ilvl w:val="0"/>
          <w:numId w:val="26"/>
        </w:numPr>
        <w:rPr>
          <w:rFonts w:cs="Arial"/>
          <w:color w:val="000000" w:themeColor="text1"/>
          <w:sz w:val="24"/>
          <w:szCs w:val="24"/>
          <w:shd w:val="clear" w:color="auto" w:fill="FFFFFF"/>
        </w:rPr>
      </w:pPr>
      <w:bookmarkStart w:id="33" w:name="_Toc164061489"/>
      <w:r w:rsidRPr="008718C4">
        <w:rPr>
          <w:rFonts w:cs="Arial"/>
          <w:sz w:val="24"/>
          <w:szCs w:val="24"/>
          <w:highlight w:val="white"/>
        </w:rPr>
        <w:t>Cognitive impairment/dementi</w:t>
      </w:r>
      <w:bookmarkEnd w:id="33"/>
      <w:r w:rsidRPr="008718C4">
        <w:rPr>
          <w:rFonts w:cs="Arial"/>
          <w:color w:val="auto"/>
          <w:sz w:val="24"/>
          <w:szCs w:val="24"/>
          <w:highlight w:val="white"/>
        </w:rPr>
        <w:t>a</w:t>
      </w:r>
      <w:r w:rsidRPr="008718C4">
        <w:rPr>
          <w:rFonts w:cs="Arial"/>
          <w:color w:val="000000" w:themeColor="text1"/>
          <w:sz w:val="24"/>
          <w:szCs w:val="24"/>
          <w:highlight w:val="white"/>
        </w:rPr>
        <w:t xml:space="preserve"> </w:t>
      </w:r>
      <w:r w:rsidRPr="008718C4">
        <w:rPr>
          <w:rFonts w:cs="Arial"/>
          <w:b/>
          <w:bCs/>
          <w:color w:val="000000" w:themeColor="text1"/>
          <w:sz w:val="24"/>
          <w:szCs w:val="24"/>
          <w:shd w:val="clear" w:color="auto" w:fill="FFFFFF"/>
        </w:rPr>
        <w:t>screening for early detection of mild cognitive impairment or dementia should be performed for adults 65 years of age</w:t>
      </w:r>
      <w:r w:rsidRPr="008718C4">
        <w:rPr>
          <w:rFonts w:cs="Arial"/>
          <w:color w:val="000000" w:themeColor="text1"/>
          <w:sz w:val="24"/>
          <w:szCs w:val="24"/>
          <w:shd w:val="clear" w:color="auto" w:fill="FFFFFF"/>
        </w:rPr>
        <w:t xml:space="preserve"> or older at the initial visit, annually, and as appropriate</w:t>
      </w:r>
      <w:r w:rsidRPr="008718C4">
        <w:rPr>
          <w:rStyle w:val="FootnoteReference"/>
          <w:rFonts w:cs="Arial"/>
          <w:color w:val="000000" w:themeColor="text1"/>
          <w:sz w:val="24"/>
          <w:szCs w:val="24"/>
          <w:shd w:val="clear" w:color="auto" w:fill="FFFFFF"/>
        </w:rPr>
        <w:footnoteReference w:id="9"/>
      </w:r>
      <w:r w:rsidRPr="008718C4">
        <w:rPr>
          <w:rFonts w:cs="Arial"/>
          <w:color w:val="000000" w:themeColor="text1"/>
          <w:sz w:val="24"/>
          <w:szCs w:val="24"/>
          <w:shd w:val="clear" w:color="auto" w:fill="FFFFFF"/>
        </w:rPr>
        <w:t xml:space="preserve">. While the ADA does not recommend a specific screening tool for cognitive impairment but mentions the Mini-Mental State Examination, </w:t>
      </w:r>
      <w:hyperlink r:id="rId19" w:history="1">
        <w:r w:rsidRPr="008718C4">
          <w:rPr>
            <w:rStyle w:val="Hyperlink"/>
            <w:rFonts w:ascii="Arial" w:eastAsiaTheme="majorEastAsia" w:hAnsi="Arial" w:cs="Arial"/>
            <w:sz w:val="24"/>
            <w:szCs w:val="24"/>
            <w:shd w:val="clear" w:color="auto" w:fill="FFFFFF"/>
          </w:rPr>
          <w:t>Mini-Cog</w:t>
        </w:r>
      </w:hyperlink>
      <w:r w:rsidRPr="008718C4">
        <w:rPr>
          <w:rFonts w:cs="Arial"/>
          <w:color w:val="000000" w:themeColor="text1"/>
          <w:sz w:val="24"/>
          <w:szCs w:val="24"/>
          <w:shd w:val="clear" w:color="auto" w:fill="FFFFFF"/>
        </w:rPr>
        <w:t xml:space="preserve">, and the </w:t>
      </w:r>
      <w:hyperlink r:id="rId20" w:history="1">
        <w:r w:rsidRPr="008718C4">
          <w:rPr>
            <w:rStyle w:val="Hyperlink"/>
            <w:rFonts w:ascii="Arial" w:eastAsiaTheme="majorEastAsia" w:hAnsi="Arial" w:cs="Arial"/>
            <w:sz w:val="24"/>
            <w:szCs w:val="24"/>
            <w:shd w:val="clear" w:color="auto" w:fill="FFFFFF"/>
          </w:rPr>
          <w:t>Montreal Cognitive Assessment</w:t>
        </w:r>
      </w:hyperlink>
      <w:r w:rsidRPr="008718C4">
        <w:rPr>
          <w:rFonts w:cs="Arial"/>
          <w:color w:val="000000" w:themeColor="text1"/>
          <w:sz w:val="24"/>
          <w:szCs w:val="24"/>
          <w:shd w:val="clear" w:color="auto" w:fill="FFFFFF"/>
        </w:rPr>
        <w:t>.</w:t>
      </w:r>
    </w:p>
    <w:p w14:paraId="4AAF0E6E" w14:textId="17A78215" w:rsidR="00D331EC" w:rsidRPr="008718C4" w:rsidRDefault="00D331EC" w:rsidP="00D331EC">
      <w:pPr>
        <w:pStyle w:val="ListParagraph"/>
        <w:numPr>
          <w:ilvl w:val="0"/>
          <w:numId w:val="26"/>
        </w:numPr>
        <w:rPr>
          <w:rFonts w:cs="Arial"/>
          <w:color w:val="000000" w:themeColor="text1"/>
          <w:sz w:val="24"/>
          <w:szCs w:val="24"/>
          <w:shd w:val="clear" w:color="auto" w:fill="FFFFFF"/>
        </w:rPr>
      </w:pPr>
      <w:r w:rsidRPr="008718C4">
        <w:rPr>
          <w:rFonts w:cs="Arial"/>
          <w:sz w:val="24"/>
          <w:szCs w:val="24"/>
        </w:rPr>
        <w:t xml:space="preserve">Dyslipidemia </w:t>
      </w:r>
      <w:proofErr w:type="gramStart"/>
      <w:r w:rsidRPr="008718C4">
        <w:rPr>
          <w:rFonts w:cs="Arial"/>
          <w:sz w:val="24"/>
          <w:szCs w:val="24"/>
        </w:rPr>
        <w:t>assessed</w:t>
      </w:r>
      <w:proofErr w:type="gramEnd"/>
      <w:r w:rsidRPr="008718C4">
        <w:rPr>
          <w:rFonts w:cs="Arial"/>
          <w:sz w:val="24"/>
          <w:szCs w:val="24"/>
        </w:rPr>
        <w:t xml:space="preserve"> and discussed with </w:t>
      </w:r>
      <w:proofErr w:type="gramStart"/>
      <w:r w:rsidRPr="008718C4">
        <w:rPr>
          <w:rFonts w:cs="Arial"/>
          <w:sz w:val="24"/>
          <w:szCs w:val="24"/>
        </w:rPr>
        <w:t>patient</w:t>
      </w:r>
      <w:proofErr w:type="gramEnd"/>
      <w:r w:rsidRPr="008718C4">
        <w:rPr>
          <w:rFonts w:cs="Arial"/>
          <w:sz w:val="24"/>
          <w:szCs w:val="24"/>
        </w:rPr>
        <w:t xml:space="preserve">. (Below graphic from </w:t>
      </w:r>
      <w:hyperlink r:id="rId21" w:history="1">
        <w:r w:rsidRPr="008718C4">
          <w:rPr>
            <w:rStyle w:val="Hyperlink"/>
            <w:rFonts w:ascii="Arial" w:hAnsi="Arial" w:cs="Arial"/>
            <w:sz w:val="24"/>
            <w:szCs w:val="24"/>
          </w:rPr>
          <w:t>Lipid Management for Primary Prevention of Atherosclerotic Cardiovascular Disease (ASCVD) Events in People with Diabetes</w:t>
        </w:r>
      </w:hyperlink>
      <w:r w:rsidRPr="008718C4">
        <w:rPr>
          <w:rFonts w:cs="Arial"/>
          <w:sz w:val="24"/>
          <w:szCs w:val="24"/>
        </w:rPr>
        <w:t>).</w:t>
      </w:r>
    </w:p>
    <w:p w14:paraId="0250035E" w14:textId="38C97DA2" w:rsidR="00D331EC" w:rsidRPr="00D331EC" w:rsidRDefault="00D331EC" w:rsidP="00D331EC">
      <w:pPr>
        <w:rPr>
          <w:rFonts w:cs="Arial"/>
          <w:color w:val="000000" w:themeColor="text1"/>
          <w:shd w:val="clear" w:color="auto" w:fill="FFFFFF"/>
        </w:rPr>
      </w:pPr>
      <w:r>
        <w:fldChar w:fldCharType="begin"/>
      </w:r>
      <w:r>
        <w:instrText xml:space="preserve"> INCLUDEPICTURE "https://ada.silverchair-cdn.com/ada/content_public/journal/clinical/42/2/10.2337_cd24-a010/10/diaclincd24a010f4.png?Expires=1718225435&amp;Signature=OwWYrYIyIZP1Z6rAQlMU0bzKbDKzFcNPpkOMh~upRLpFccOF6jKO71QgNzSOYh4VWR2EYmNg~3jaHQbPPLFZ7zMxyg-PWVm6TXpxOcxe~skhrFl7Aa55fQB0mrneIxzBjjIQxSO4MH8Z06PDpmMK-198m47XxdHqR8QwIhDinvbEoh4gRoR1And8QXvK2nIfYK0T4t9Cu59mBL6ZfSEl~pR4AodVVlD8jaEcI3cGNRZZHAbVHf-EOAIoEGrVBoqPaqhr-Y-3NkOGShWQ4RCT0INFp8xZeLkRtxt2DaYX4NMZvR0po2WNt6mZKs7RUH1uIJ0YON73WmiEk7MZHKpfTQ__&amp;Key-Pair-Id=APKAIE5G5CRDK6RD3PGA" \* MERGEFORMATINET </w:instrText>
      </w:r>
      <w:r>
        <w:fldChar w:fldCharType="separate"/>
      </w:r>
      <w:r>
        <w:fldChar w:fldCharType="end"/>
      </w:r>
    </w:p>
    <w:p w14:paraId="098CFFB5" w14:textId="52D4CB16" w:rsidR="00D331EC" w:rsidRPr="00D331EC" w:rsidRDefault="00D331EC" w:rsidP="00D331EC">
      <w:pPr>
        <w:ind w:left="360"/>
        <w:rPr>
          <w:highlight w:val="white"/>
        </w:rPr>
      </w:pPr>
      <w:r>
        <w:rPr>
          <w:noProof/>
        </w:rPr>
        <w:drawing>
          <wp:anchor distT="0" distB="0" distL="114300" distR="114300" simplePos="0" relativeHeight="251658243" behindDoc="0" locked="0" layoutInCell="1" allowOverlap="1" wp14:anchorId="0C943941" wp14:editId="0EB7D9EB">
            <wp:simplePos x="0" y="0"/>
            <wp:positionH relativeFrom="margin">
              <wp:align>center</wp:align>
            </wp:positionH>
            <wp:positionV relativeFrom="paragraph">
              <wp:posOffset>150833</wp:posOffset>
            </wp:positionV>
            <wp:extent cx="5943600" cy="3230245"/>
            <wp:effectExtent l="0" t="0" r="0" b="0"/>
            <wp:wrapSquare wrapText="bothSides"/>
            <wp:docPr id="268163173" name="Picture 1" descr="A flowchart of a patient's therap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63173" name="Picture 1" descr="A flowchart of a patient's therapy&#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230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FC3AB" w14:textId="77777777" w:rsidR="00D331EC" w:rsidRPr="00D331EC" w:rsidRDefault="00D331EC" w:rsidP="00D331EC">
      <w:pPr>
        <w:rPr>
          <w:highlight w:val="white"/>
        </w:rPr>
      </w:pPr>
    </w:p>
    <w:p w14:paraId="557246EB" w14:textId="77777777" w:rsidR="00D331EC" w:rsidRPr="00D331EC" w:rsidRDefault="00D331EC" w:rsidP="00D331EC">
      <w:pPr>
        <w:pStyle w:val="ListParagraph"/>
        <w:rPr>
          <w:highlight w:val="white"/>
        </w:rPr>
      </w:pPr>
    </w:p>
    <w:p w14:paraId="7B7A70AC" w14:textId="402C7357" w:rsidR="00D331EC" w:rsidRPr="008718C4" w:rsidRDefault="00312343" w:rsidP="00D331EC">
      <w:pPr>
        <w:pStyle w:val="ListParagraph"/>
        <w:numPr>
          <w:ilvl w:val="0"/>
          <w:numId w:val="26"/>
        </w:numPr>
        <w:rPr>
          <w:sz w:val="24"/>
          <w:szCs w:val="24"/>
          <w:highlight w:val="white"/>
        </w:rPr>
      </w:pPr>
      <w:r w:rsidRPr="008718C4">
        <w:rPr>
          <w:sz w:val="24"/>
          <w:szCs w:val="24"/>
          <w:highlight w:val="white"/>
        </w:rPr>
        <w:t>Comprehensive f</w:t>
      </w:r>
      <w:r w:rsidR="00D331EC" w:rsidRPr="008718C4">
        <w:rPr>
          <w:sz w:val="24"/>
          <w:szCs w:val="24"/>
          <w:highlight w:val="white"/>
        </w:rPr>
        <w:t xml:space="preserve">oot assessment is performed </w:t>
      </w:r>
      <w:r w:rsidRPr="008718C4">
        <w:rPr>
          <w:sz w:val="24"/>
          <w:szCs w:val="24"/>
          <w:highlight w:val="white"/>
        </w:rPr>
        <w:t xml:space="preserve">annually </w:t>
      </w:r>
      <w:r w:rsidR="00D331EC" w:rsidRPr="008718C4">
        <w:rPr>
          <w:sz w:val="24"/>
          <w:szCs w:val="24"/>
          <w:highlight w:val="white"/>
        </w:rPr>
        <w:t xml:space="preserve">by clinician and/or care team </w:t>
      </w:r>
      <w:proofErr w:type="gramStart"/>
      <w:r w:rsidR="00D331EC" w:rsidRPr="008718C4">
        <w:rPr>
          <w:sz w:val="24"/>
          <w:szCs w:val="24"/>
          <w:highlight w:val="white"/>
        </w:rPr>
        <w:t>member</w:t>
      </w:r>
      <w:proofErr w:type="gramEnd"/>
      <w:r w:rsidR="00D331EC" w:rsidRPr="008718C4">
        <w:rPr>
          <w:sz w:val="24"/>
          <w:szCs w:val="24"/>
          <w:highlight w:val="white"/>
        </w:rPr>
        <w:t xml:space="preserve"> to assess for neuropathy and other risk factors for ulcers and amputations, including assessment for peripheral arterial disease.</w:t>
      </w:r>
    </w:p>
    <w:p w14:paraId="1D1D7608" w14:textId="6DBFE1A1" w:rsidR="00312343" w:rsidRPr="008718C4" w:rsidRDefault="00D331EC" w:rsidP="008F157C">
      <w:pPr>
        <w:pStyle w:val="ListParagraph"/>
        <w:numPr>
          <w:ilvl w:val="0"/>
          <w:numId w:val="26"/>
        </w:numPr>
        <w:rPr>
          <w:sz w:val="24"/>
          <w:szCs w:val="24"/>
          <w:highlight w:val="white"/>
        </w:rPr>
      </w:pPr>
      <w:r w:rsidRPr="008718C4">
        <w:rPr>
          <w:sz w:val="24"/>
          <w:szCs w:val="24"/>
          <w:highlight w:val="white"/>
        </w:rPr>
        <w:t>Glycemic assessment and goals are discussed and agreed upon with patient and continuous glucose monitoring is considered.</w:t>
      </w:r>
      <w:r w:rsidR="00312343" w:rsidRPr="008718C4">
        <w:rPr>
          <w:noProof/>
          <w:sz w:val="24"/>
          <w:szCs w:val="24"/>
        </w:rPr>
        <w:t xml:space="preserve"> </w:t>
      </w:r>
    </w:p>
    <w:p w14:paraId="1903ADC4" w14:textId="3688E854" w:rsidR="00D331EC" w:rsidRPr="008718C4" w:rsidRDefault="00D331EC" w:rsidP="00D331EC">
      <w:pPr>
        <w:pStyle w:val="ListParagraph"/>
        <w:numPr>
          <w:ilvl w:val="0"/>
          <w:numId w:val="26"/>
        </w:numPr>
        <w:rPr>
          <w:sz w:val="24"/>
          <w:szCs w:val="24"/>
          <w:highlight w:val="white"/>
        </w:rPr>
      </w:pPr>
      <w:r w:rsidRPr="008718C4">
        <w:rPr>
          <w:sz w:val="24"/>
          <w:szCs w:val="24"/>
          <w:highlight w:val="white"/>
        </w:rPr>
        <w:t>Health-related social needs are identified and addressed</w:t>
      </w:r>
      <w:r w:rsidR="00312343" w:rsidRPr="008718C4">
        <w:rPr>
          <w:sz w:val="24"/>
          <w:szCs w:val="24"/>
          <w:highlight w:val="white"/>
        </w:rPr>
        <w:t xml:space="preserve"> using the PRAPARE or </w:t>
      </w:r>
      <w:r w:rsidR="00980139" w:rsidRPr="008718C4">
        <w:rPr>
          <w:sz w:val="24"/>
          <w:szCs w:val="24"/>
          <w:highlight w:val="white"/>
        </w:rPr>
        <w:t>another</w:t>
      </w:r>
      <w:r w:rsidR="00312343" w:rsidRPr="008718C4">
        <w:rPr>
          <w:sz w:val="24"/>
          <w:szCs w:val="24"/>
          <w:highlight w:val="white"/>
        </w:rPr>
        <w:t xml:space="preserve"> tool</w:t>
      </w:r>
      <w:r w:rsidRPr="008718C4">
        <w:rPr>
          <w:sz w:val="24"/>
          <w:szCs w:val="24"/>
          <w:highlight w:val="white"/>
        </w:rPr>
        <w:t>.</w:t>
      </w:r>
    </w:p>
    <w:p w14:paraId="08C2A0F1" w14:textId="4D581798" w:rsidR="00312343" w:rsidRPr="008718C4" w:rsidRDefault="00312343" w:rsidP="008F157C">
      <w:pPr>
        <w:pStyle w:val="ListParagraph"/>
        <w:numPr>
          <w:ilvl w:val="0"/>
          <w:numId w:val="26"/>
        </w:numPr>
        <w:rPr>
          <w:sz w:val="24"/>
          <w:szCs w:val="24"/>
          <w:highlight w:val="white"/>
        </w:rPr>
      </w:pPr>
      <w:r w:rsidRPr="008718C4">
        <w:rPr>
          <w:sz w:val="24"/>
          <w:szCs w:val="24"/>
          <w:highlight w:val="white"/>
        </w:rPr>
        <w:t xml:space="preserve">Hypertension – blood pressure is obtained at every routine clinical visit, </w:t>
      </w:r>
      <w:r w:rsidRPr="008718C4">
        <w:rPr>
          <w:rStyle w:val="Strong"/>
          <w:rFonts w:cs="Arial"/>
          <w:b w:val="0"/>
          <w:bCs w:val="0"/>
          <w:color w:val="383636"/>
          <w:sz w:val="24"/>
          <w:szCs w:val="24"/>
          <w:bdr w:val="none" w:sz="0" w:space="0" w:color="auto" w:frame="1"/>
        </w:rPr>
        <w:t>measured by a trained individual following guidelines (patient seated with feet on floor, arm supported at heart level after five minutes of rest with appropriate cuff size)</w:t>
      </w:r>
      <w:r w:rsidRPr="008718C4">
        <w:rPr>
          <w:sz w:val="24"/>
          <w:szCs w:val="24"/>
          <w:highlight w:val="white"/>
        </w:rPr>
        <w:t xml:space="preserve"> with treatment to goal of &lt; 130/80 unless otherwise determined by the treating clinician</w:t>
      </w:r>
      <w:r w:rsidRPr="008718C4">
        <w:rPr>
          <w:rStyle w:val="Strong"/>
          <w:rFonts w:cs="Arial"/>
          <w:b w:val="0"/>
          <w:bCs w:val="0"/>
          <w:color w:val="383636"/>
          <w:sz w:val="24"/>
          <w:szCs w:val="24"/>
          <w:bdr w:val="none" w:sz="0" w:space="0" w:color="auto" w:frame="1"/>
        </w:rPr>
        <w:t>.</w:t>
      </w:r>
    </w:p>
    <w:p w14:paraId="2ABC0767" w14:textId="5C677A10" w:rsidR="008816C0" w:rsidRPr="008718C4" w:rsidRDefault="008816C0" w:rsidP="00D331EC">
      <w:pPr>
        <w:pStyle w:val="ListParagraph"/>
        <w:numPr>
          <w:ilvl w:val="0"/>
          <w:numId w:val="26"/>
        </w:numPr>
        <w:rPr>
          <w:sz w:val="24"/>
          <w:szCs w:val="24"/>
          <w:highlight w:val="white"/>
        </w:rPr>
      </w:pPr>
      <w:r w:rsidRPr="008718C4">
        <w:rPr>
          <w:sz w:val="24"/>
          <w:szCs w:val="24"/>
          <w:highlight w:val="white"/>
        </w:rPr>
        <w:t xml:space="preserve">Kidney function </w:t>
      </w:r>
      <w:r w:rsidR="00312343" w:rsidRPr="008718C4">
        <w:rPr>
          <w:sz w:val="24"/>
          <w:szCs w:val="24"/>
          <w:highlight w:val="white"/>
        </w:rPr>
        <w:t xml:space="preserve">is </w:t>
      </w:r>
      <w:r w:rsidRPr="008718C4">
        <w:rPr>
          <w:sz w:val="24"/>
          <w:szCs w:val="24"/>
          <w:highlight w:val="white"/>
        </w:rPr>
        <w:t>assessed and discussed with patient; ICD code</w:t>
      </w:r>
      <w:r w:rsidR="00312343" w:rsidRPr="008718C4">
        <w:rPr>
          <w:sz w:val="24"/>
          <w:szCs w:val="24"/>
          <w:highlight w:val="white"/>
        </w:rPr>
        <w:t>s</w:t>
      </w:r>
      <w:r w:rsidRPr="008718C4">
        <w:rPr>
          <w:sz w:val="24"/>
          <w:szCs w:val="24"/>
          <w:highlight w:val="white"/>
        </w:rPr>
        <w:t xml:space="preserve"> entered</w:t>
      </w:r>
      <w:r w:rsidR="00312343" w:rsidRPr="008718C4">
        <w:rPr>
          <w:sz w:val="24"/>
          <w:szCs w:val="24"/>
          <w:highlight w:val="white"/>
        </w:rPr>
        <w:t xml:space="preserve">/added to the problem list </w:t>
      </w:r>
      <w:r w:rsidRPr="008718C4">
        <w:rPr>
          <w:sz w:val="24"/>
          <w:szCs w:val="24"/>
          <w:highlight w:val="white"/>
        </w:rPr>
        <w:t>for any level of chronic kidney disease</w:t>
      </w:r>
      <w:r w:rsidR="00D331EC" w:rsidRPr="008718C4">
        <w:rPr>
          <w:sz w:val="24"/>
          <w:szCs w:val="24"/>
          <w:highlight w:val="white"/>
        </w:rPr>
        <w:t xml:space="preserve"> (CKD)</w:t>
      </w:r>
    </w:p>
    <w:p w14:paraId="3A5111A1" w14:textId="3C582B0B" w:rsidR="008816C0" w:rsidRPr="008718C4" w:rsidRDefault="008816C0" w:rsidP="00D331EC">
      <w:pPr>
        <w:pStyle w:val="ListParagraph"/>
        <w:numPr>
          <w:ilvl w:val="1"/>
          <w:numId w:val="26"/>
        </w:numPr>
        <w:rPr>
          <w:sz w:val="24"/>
          <w:szCs w:val="24"/>
          <w:highlight w:val="white"/>
        </w:rPr>
      </w:pPr>
      <w:r w:rsidRPr="008718C4">
        <w:rPr>
          <w:sz w:val="24"/>
          <w:szCs w:val="24"/>
          <w:highlight w:val="white"/>
        </w:rPr>
        <w:t xml:space="preserve">Stage 1 CKD (N18.1)- eGFR 90 or higher and kidney damage (e.g. </w:t>
      </w:r>
      <w:proofErr w:type="spellStart"/>
      <w:r w:rsidRPr="008718C4">
        <w:rPr>
          <w:sz w:val="24"/>
          <w:szCs w:val="24"/>
          <w:highlight w:val="white"/>
        </w:rPr>
        <w:t>uACR</w:t>
      </w:r>
      <w:proofErr w:type="spellEnd"/>
      <w:r w:rsidRPr="008718C4">
        <w:rPr>
          <w:sz w:val="24"/>
          <w:szCs w:val="24"/>
          <w:highlight w:val="white"/>
        </w:rPr>
        <w:t xml:space="preserve"> 30 or higher) for 3 months or more</w:t>
      </w:r>
    </w:p>
    <w:p w14:paraId="531E3005" w14:textId="156E41F5" w:rsidR="008816C0" w:rsidRPr="008718C4" w:rsidRDefault="008816C0" w:rsidP="00D331EC">
      <w:pPr>
        <w:pStyle w:val="ListParagraph"/>
        <w:numPr>
          <w:ilvl w:val="1"/>
          <w:numId w:val="26"/>
        </w:numPr>
        <w:rPr>
          <w:sz w:val="24"/>
          <w:szCs w:val="24"/>
          <w:highlight w:val="white"/>
        </w:rPr>
      </w:pPr>
      <w:r w:rsidRPr="008718C4">
        <w:rPr>
          <w:sz w:val="24"/>
          <w:szCs w:val="24"/>
          <w:highlight w:val="white"/>
        </w:rPr>
        <w:t xml:space="preserve">Stage 2 CKD (N18.2)- eGFR 60-89 and kidney damage (e.g. </w:t>
      </w:r>
      <w:proofErr w:type="spellStart"/>
      <w:r w:rsidRPr="008718C4">
        <w:rPr>
          <w:sz w:val="24"/>
          <w:szCs w:val="24"/>
          <w:highlight w:val="white"/>
        </w:rPr>
        <w:t>uACR</w:t>
      </w:r>
      <w:proofErr w:type="spellEnd"/>
      <w:r w:rsidRPr="008718C4">
        <w:rPr>
          <w:sz w:val="24"/>
          <w:szCs w:val="24"/>
          <w:highlight w:val="white"/>
        </w:rPr>
        <w:t xml:space="preserve"> 30 or higher) for 3 months or more</w:t>
      </w:r>
    </w:p>
    <w:p w14:paraId="4825042F" w14:textId="0A00CF7F" w:rsidR="008816C0" w:rsidRPr="008718C4" w:rsidRDefault="008816C0" w:rsidP="00D331EC">
      <w:pPr>
        <w:pStyle w:val="ListParagraph"/>
        <w:numPr>
          <w:ilvl w:val="1"/>
          <w:numId w:val="26"/>
        </w:numPr>
        <w:rPr>
          <w:sz w:val="24"/>
          <w:szCs w:val="24"/>
          <w:highlight w:val="white"/>
        </w:rPr>
      </w:pPr>
      <w:r w:rsidRPr="008718C4">
        <w:rPr>
          <w:sz w:val="24"/>
          <w:szCs w:val="24"/>
          <w:highlight w:val="white"/>
        </w:rPr>
        <w:t>Stage 3a CKD (N18.31) - Mild to moderate loss of kidney function (eGFR 45-59 for 3 months or more)</w:t>
      </w:r>
    </w:p>
    <w:p w14:paraId="4F1E6D25" w14:textId="12557284" w:rsidR="008816C0" w:rsidRPr="008718C4" w:rsidRDefault="008816C0" w:rsidP="00D331EC">
      <w:pPr>
        <w:pStyle w:val="ListParagraph"/>
        <w:numPr>
          <w:ilvl w:val="1"/>
          <w:numId w:val="26"/>
        </w:numPr>
        <w:rPr>
          <w:sz w:val="24"/>
          <w:szCs w:val="24"/>
          <w:highlight w:val="white"/>
        </w:rPr>
      </w:pPr>
      <w:r w:rsidRPr="008718C4">
        <w:rPr>
          <w:sz w:val="24"/>
          <w:szCs w:val="24"/>
          <w:highlight w:val="white"/>
        </w:rPr>
        <w:t>Stage 3b CKD (N18.32) - Moderate to severe loss of kidney function (eGFR 30-44 for 3 months or more)</w:t>
      </w:r>
    </w:p>
    <w:p w14:paraId="5D4DF7C3" w14:textId="53B3D8DE" w:rsidR="008816C0" w:rsidRPr="008718C4" w:rsidRDefault="008816C0" w:rsidP="00D331EC">
      <w:pPr>
        <w:pStyle w:val="ListParagraph"/>
        <w:numPr>
          <w:ilvl w:val="1"/>
          <w:numId w:val="26"/>
        </w:numPr>
        <w:rPr>
          <w:sz w:val="24"/>
          <w:szCs w:val="24"/>
          <w:highlight w:val="white"/>
        </w:rPr>
      </w:pPr>
      <w:r w:rsidRPr="008718C4">
        <w:rPr>
          <w:sz w:val="24"/>
          <w:szCs w:val="24"/>
          <w:highlight w:val="white"/>
        </w:rPr>
        <w:t>Stage 4 CKD (N18.4) - Severe loss of kidney function (eGFR 15-29 for 3 months or more)</w:t>
      </w:r>
    </w:p>
    <w:p w14:paraId="1326CD15" w14:textId="108A8741" w:rsidR="008816C0" w:rsidRPr="008718C4" w:rsidRDefault="008816C0" w:rsidP="00D331EC">
      <w:pPr>
        <w:pStyle w:val="ListParagraph"/>
        <w:numPr>
          <w:ilvl w:val="1"/>
          <w:numId w:val="26"/>
        </w:numPr>
        <w:rPr>
          <w:sz w:val="24"/>
          <w:szCs w:val="24"/>
          <w:highlight w:val="white"/>
        </w:rPr>
      </w:pPr>
      <w:r w:rsidRPr="008718C4">
        <w:rPr>
          <w:sz w:val="24"/>
          <w:szCs w:val="24"/>
          <w:highlight w:val="white"/>
        </w:rPr>
        <w:t>Stage 5 CKD (N18.5) Kidney failure (eGFR less than 15 for 3 months or more)</w:t>
      </w:r>
      <w:r w:rsidRPr="008718C4">
        <w:rPr>
          <w:sz w:val="24"/>
          <w:szCs w:val="24"/>
          <w:highlight w:val="white"/>
        </w:rPr>
        <w:br/>
        <w:t>or on dialysis</w:t>
      </w:r>
    </w:p>
    <w:p w14:paraId="52965EEB" w14:textId="77777777" w:rsidR="008816C0" w:rsidRPr="008718C4" w:rsidRDefault="008816C0" w:rsidP="00D331EC">
      <w:pPr>
        <w:pStyle w:val="ListParagraph"/>
        <w:numPr>
          <w:ilvl w:val="1"/>
          <w:numId w:val="26"/>
        </w:numPr>
        <w:rPr>
          <w:sz w:val="24"/>
          <w:szCs w:val="24"/>
          <w:highlight w:val="white"/>
        </w:rPr>
      </w:pPr>
      <w:r w:rsidRPr="008718C4">
        <w:rPr>
          <w:sz w:val="24"/>
          <w:szCs w:val="24"/>
          <w:highlight w:val="white"/>
        </w:rPr>
        <w:t>End stage renal disease (N18.6)</w:t>
      </w:r>
    </w:p>
    <w:p w14:paraId="386AE3FB" w14:textId="531DB6FD" w:rsidR="00312343" w:rsidRPr="008718C4" w:rsidRDefault="00312343" w:rsidP="00312343">
      <w:pPr>
        <w:pStyle w:val="ListParagraph"/>
        <w:numPr>
          <w:ilvl w:val="0"/>
          <w:numId w:val="26"/>
        </w:numPr>
        <w:rPr>
          <w:sz w:val="24"/>
          <w:szCs w:val="24"/>
        </w:rPr>
      </w:pPr>
      <w:r w:rsidRPr="008718C4">
        <w:rPr>
          <w:sz w:val="24"/>
          <w:szCs w:val="24"/>
        </w:rPr>
        <w:t>Medication reconciliation is performed at every visit for adults with T2D and includes assessing primary and secondary nonadherence and contributing factors (e.g., transportation, cost, side effects, lack of reminder systems).</w:t>
      </w:r>
    </w:p>
    <w:p w14:paraId="66275590" w14:textId="6DA5B53E" w:rsidR="00D331EC" w:rsidRPr="008718C4" w:rsidRDefault="00D331EC" w:rsidP="00312343">
      <w:pPr>
        <w:pStyle w:val="ListParagraph"/>
        <w:numPr>
          <w:ilvl w:val="0"/>
          <w:numId w:val="26"/>
        </w:numPr>
        <w:spacing w:line="276" w:lineRule="auto"/>
        <w:rPr>
          <w:sz w:val="24"/>
          <w:szCs w:val="24"/>
          <w:highlight w:val="white"/>
        </w:rPr>
      </w:pPr>
      <w:r w:rsidRPr="008718C4">
        <w:rPr>
          <w:sz w:val="24"/>
          <w:szCs w:val="24"/>
          <w:highlight w:val="white"/>
        </w:rPr>
        <w:t>Mental health and well-being are assessed</w:t>
      </w:r>
      <w:r w:rsidR="00312343" w:rsidRPr="008718C4">
        <w:rPr>
          <w:sz w:val="24"/>
          <w:szCs w:val="24"/>
          <w:highlight w:val="white"/>
        </w:rPr>
        <w:t xml:space="preserve"> using standard assessment tools (e.g., Patient Health Questionnaire (PHQ-9) for depression or General Anxiety Disorder (GAD-7 for anxiety)</w:t>
      </w:r>
    </w:p>
    <w:p w14:paraId="0171ECA5" w14:textId="12086DB6" w:rsidR="00312343" w:rsidRPr="008718C4" w:rsidRDefault="00312343" w:rsidP="00312343">
      <w:pPr>
        <w:pStyle w:val="ListParagraph"/>
        <w:numPr>
          <w:ilvl w:val="0"/>
          <w:numId w:val="26"/>
        </w:numPr>
        <w:spacing w:line="276" w:lineRule="auto"/>
        <w:rPr>
          <w:sz w:val="24"/>
          <w:szCs w:val="24"/>
          <w:highlight w:val="white"/>
        </w:rPr>
      </w:pPr>
      <w:r w:rsidRPr="008718C4">
        <w:rPr>
          <w:sz w:val="24"/>
          <w:szCs w:val="24"/>
          <w:highlight w:val="white"/>
        </w:rPr>
        <w:t>Neuropathy assessment is performed at diagnosis of T2D and then annually.</w:t>
      </w:r>
    </w:p>
    <w:p w14:paraId="163F0B9B" w14:textId="571840C2" w:rsidR="00312343" w:rsidRPr="008718C4" w:rsidRDefault="00312343" w:rsidP="008816C0">
      <w:pPr>
        <w:pStyle w:val="ListParagraph"/>
        <w:numPr>
          <w:ilvl w:val="0"/>
          <w:numId w:val="26"/>
        </w:numPr>
        <w:spacing w:line="276" w:lineRule="auto"/>
        <w:rPr>
          <w:sz w:val="24"/>
          <w:szCs w:val="24"/>
          <w:highlight w:val="white"/>
        </w:rPr>
      </w:pPr>
      <w:bookmarkStart w:id="34" w:name="_Toc164061501"/>
      <w:r w:rsidRPr="008718C4">
        <w:rPr>
          <w:sz w:val="24"/>
          <w:szCs w:val="24"/>
          <w:highlight w:val="white"/>
        </w:rPr>
        <w:t>Nonalcoholic fatty liver disease and nonalcoholic steatohepatitis (NAFLD and NASH)</w:t>
      </w:r>
      <w:bookmarkEnd w:id="34"/>
      <w:r w:rsidRPr="008718C4">
        <w:rPr>
          <w:sz w:val="24"/>
          <w:szCs w:val="24"/>
          <w:highlight w:val="white"/>
        </w:rPr>
        <w:t xml:space="preserve"> screening/risk stratification should be administered for adults with T2D as per the current ADA recommendations</w:t>
      </w:r>
      <w:r w:rsidR="008F157C" w:rsidRPr="008718C4">
        <w:rPr>
          <w:sz w:val="24"/>
          <w:szCs w:val="24"/>
          <w:highlight w:val="white"/>
        </w:rPr>
        <w:t>.</w:t>
      </w:r>
      <w:r w:rsidR="008F157C" w:rsidRPr="008718C4">
        <w:rPr>
          <w:rStyle w:val="FootnoteReference"/>
          <w:sz w:val="24"/>
          <w:szCs w:val="24"/>
          <w:highlight w:val="white"/>
        </w:rPr>
        <w:footnoteReference w:id="10"/>
      </w:r>
      <w:r w:rsidR="008F157C" w:rsidRPr="008718C4">
        <w:rPr>
          <w:sz w:val="24"/>
          <w:szCs w:val="24"/>
          <w:highlight w:val="white"/>
          <w:vertAlign w:val="superscript"/>
        </w:rPr>
        <w:t>,</w:t>
      </w:r>
      <w:r w:rsidR="008F157C" w:rsidRPr="008718C4">
        <w:rPr>
          <w:rStyle w:val="FootnoteReference"/>
          <w:sz w:val="24"/>
          <w:szCs w:val="24"/>
          <w:highlight w:val="white"/>
        </w:rPr>
        <w:footnoteReference w:id="11"/>
      </w:r>
    </w:p>
    <w:p w14:paraId="515556DE" w14:textId="77777777" w:rsidR="003F36EE" w:rsidRPr="008718C4" w:rsidRDefault="003F36EE" w:rsidP="00312343">
      <w:pPr>
        <w:pStyle w:val="ListParagraph"/>
        <w:numPr>
          <w:ilvl w:val="0"/>
          <w:numId w:val="26"/>
        </w:numPr>
        <w:spacing w:line="276" w:lineRule="auto"/>
        <w:rPr>
          <w:sz w:val="24"/>
          <w:szCs w:val="24"/>
          <w:highlight w:val="white"/>
        </w:rPr>
      </w:pPr>
      <w:r w:rsidRPr="008718C4">
        <w:rPr>
          <w:sz w:val="24"/>
          <w:szCs w:val="24"/>
          <w:highlight w:val="white"/>
        </w:rPr>
        <w:t>Physical activity – all patients that can engage in physical activity are counseled about the risk of being sedentary and the goal of obtaining at least 150 minutes of physical activity per week.</w:t>
      </w:r>
    </w:p>
    <w:p w14:paraId="3F7F70F0" w14:textId="29A6904A" w:rsidR="00312343" w:rsidRPr="0074110B" w:rsidRDefault="00312343" w:rsidP="00312343">
      <w:pPr>
        <w:pStyle w:val="ListParagraph"/>
        <w:numPr>
          <w:ilvl w:val="0"/>
          <w:numId w:val="26"/>
        </w:numPr>
        <w:spacing w:line="276" w:lineRule="auto"/>
        <w:rPr>
          <w:sz w:val="24"/>
          <w:szCs w:val="24"/>
          <w:highlight w:val="white"/>
        </w:rPr>
      </w:pPr>
      <w:r w:rsidRPr="008718C4">
        <w:rPr>
          <w:sz w:val="24"/>
          <w:szCs w:val="24"/>
          <w:highlight w:val="white"/>
        </w:rPr>
        <w:t>Retinopathy screening – all patients receive or are referred for dilated retinal exam at initial visit and annually thereafter.</w:t>
      </w:r>
    </w:p>
    <w:p w14:paraId="5FE20508" w14:textId="75FA2F09" w:rsidR="003F36EE" w:rsidRPr="0074110B" w:rsidRDefault="00312343" w:rsidP="0074110B">
      <w:pPr>
        <w:pStyle w:val="Heading1"/>
        <w:rPr>
          <w:rFonts w:cs="Arial"/>
        </w:rPr>
      </w:pPr>
      <w:bookmarkStart w:id="35" w:name="_Toc172721052"/>
      <w:bookmarkStart w:id="36" w:name="_Toc172721809"/>
      <w:r>
        <w:rPr>
          <w:rFonts w:cs="Arial"/>
        </w:rPr>
        <w:t>Between Visits</w:t>
      </w:r>
      <w:r w:rsidR="003F36EE">
        <w:rPr>
          <w:rFonts w:cs="Arial"/>
        </w:rPr>
        <w:t xml:space="preserve"> for all People with T2D</w:t>
      </w:r>
      <w:bookmarkEnd w:id="35"/>
      <w:bookmarkEnd w:id="36"/>
      <w:r w:rsidR="003F36EE">
        <w:rPr>
          <w:rFonts w:cs="Arial"/>
        </w:rPr>
        <w:t xml:space="preserve"> </w:t>
      </w:r>
    </w:p>
    <w:p w14:paraId="68B69D16" w14:textId="7C718333" w:rsidR="003F36EE" w:rsidRPr="008718C4" w:rsidRDefault="003F36EE" w:rsidP="00C76AAE">
      <w:pPr>
        <w:rPr>
          <w:rFonts w:cs="Arial"/>
          <w:color w:val="383636"/>
          <w:shd w:val="clear" w:color="auto" w:fill="FFFFFF"/>
        </w:rPr>
      </w:pPr>
      <w:r w:rsidRPr="008718C4">
        <w:rPr>
          <w:rFonts w:cs="Arial"/>
          <w:color w:val="383636"/>
          <w:shd w:val="clear" w:color="auto" w:fill="FFFFFF"/>
        </w:rPr>
        <w:t>“Building positive health behaviors and maintaining psychological well-being are foundational for achieving diabetes management goals and maximizing quality of life.”</w:t>
      </w:r>
      <w:r w:rsidRPr="008718C4">
        <w:rPr>
          <w:rStyle w:val="FootnoteReference"/>
          <w:rFonts w:cs="Arial"/>
          <w:color w:val="383636"/>
          <w:shd w:val="clear" w:color="auto" w:fill="FFFFFF"/>
        </w:rPr>
        <w:footnoteReference w:id="12"/>
      </w:r>
    </w:p>
    <w:p w14:paraId="76002596" w14:textId="77777777" w:rsidR="008F157C" w:rsidRPr="008718C4" w:rsidRDefault="008F157C" w:rsidP="00C76AAE">
      <w:pPr>
        <w:rPr>
          <w:rFonts w:cs="Arial"/>
          <w:color w:val="383636"/>
          <w:shd w:val="clear" w:color="auto" w:fill="FFFFFF"/>
        </w:rPr>
      </w:pPr>
    </w:p>
    <w:p w14:paraId="0A5471E6" w14:textId="4441C5E0" w:rsidR="008F157C" w:rsidRPr="008718C4" w:rsidRDefault="008F157C" w:rsidP="00C76AAE">
      <w:pPr>
        <w:rPr>
          <w:rFonts w:cs="Arial"/>
          <w:color w:val="383636"/>
          <w:shd w:val="clear" w:color="auto" w:fill="FFFFFF"/>
        </w:rPr>
      </w:pPr>
      <w:r w:rsidRPr="008718C4">
        <w:rPr>
          <w:rFonts w:cs="Arial"/>
          <w:color w:val="383636"/>
          <w:shd w:val="clear" w:color="auto" w:fill="FFFFFF"/>
        </w:rPr>
        <w:t>We conduct the following as needed to help people with diabetes achieve their health goals both during and between visits.</w:t>
      </w:r>
    </w:p>
    <w:p w14:paraId="0B43BE50" w14:textId="128F511F"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Refer for diabetes self-management education and support.</w:t>
      </w:r>
    </w:p>
    <w:p w14:paraId="579F89E1" w14:textId="785BFCB6"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Refer for medical nutrition therapy (MNT).</w:t>
      </w:r>
    </w:p>
    <w:p w14:paraId="600489BA" w14:textId="11946C1D"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Counsel on routine physical activity.</w:t>
      </w:r>
    </w:p>
    <w:p w14:paraId="6C799633" w14:textId="4611F9F9"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Counsel on and support cessation of tobacco products and vaping.</w:t>
      </w:r>
    </w:p>
    <w:p w14:paraId="00F19C18" w14:textId="268EFC8C"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Counsel and support health behaviors</w:t>
      </w:r>
    </w:p>
    <w:p w14:paraId="518ADAA1" w14:textId="7319F9D7" w:rsidR="008F157C" w:rsidRPr="008718C4" w:rsidRDefault="008F157C" w:rsidP="008F157C">
      <w:pPr>
        <w:pStyle w:val="ListParagraph"/>
        <w:numPr>
          <w:ilvl w:val="0"/>
          <w:numId w:val="28"/>
        </w:numPr>
        <w:rPr>
          <w:rFonts w:cs="Arial"/>
          <w:color w:val="383636"/>
          <w:sz w:val="24"/>
          <w:szCs w:val="24"/>
          <w:shd w:val="clear" w:color="auto" w:fill="FFFFFF"/>
        </w:rPr>
      </w:pPr>
      <w:r w:rsidRPr="008718C4">
        <w:rPr>
          <w:rFonts w:cs="Arial"/>
          <w:color w:val="383636"/>
          <w:sz w:val="24"/>
          <w:szCs w:val="24"/>
          <w:shd w:val="clear" w:color="auto" w:fill="FFFFFF"/>
        </w:rPr>
        <w:t>Support and refer to behavior health professionals for psychosocial care</w:t>
      </w:r>
    </w:p>
    <w:p w14:paraId="57290DDF" w14:textId="46929328" w:rsidR="003F36EE" w:rsidRPr="008718C4" w:rsidRDefault="003F36EE" w:rsidP="00C76AAE">
      <w:pPr>
        <w:rPr>
          <w:rFonts w:cs="Arial"/>
        </w:rPr>
      </w:pPr>
    </w:p>
    <w:p w14:paraId="66411443" w14:textId="5CC6CA22" w:rsidR="00C76AAE" w:rsidRPr="008718C4" w:rsidRDefault="00024C70" w:rsidP="00C76AAE">
      <w:pPr>
        <w:rPr>
          <w:rFonts w:cs="Arial"/>
        </w:rPr>
      </w:pPr>
      <w:r>
        <w:rPr>
          <w:noProof/>
        </w:rPr>
        <mc:AlternateContent>
          <mc:Choice Requires="wps">
            <w:drawing>
              <wp:anchor distT="0" distB="0" distL="114300" distR="114300" simplePos="0" relativeHeight="251658244" behindDoc="0" locked="0" layoutInCell="1" allowOverlap="1" wp14:anchorId="0E360CED" wp14:editId="1D698236">
                <wp:simplePos x="0" y="0"/>
                <wp:positionH relativeFrom="column">
                  <wp:posOffset>4173509</wp:posOffset>
                </wp:positionH>
                <wp:positionV relativeFrom="paragraph">
                  <wp:posOffset>89918</wp:posOffset>
                </wp:positionV>
                <wp:extent cx="2259965" cy="854710"/>
                <wp:effectExtent l="0" t="0" r="13335" b="8890"/>
                <wp:wrapSquare wrapText="bothSides"/>
                <wp:docPr id="2075473553" name="Text Box 1"/>
                <wp:cNvGraphicFramePr/>
                <a:graphic xmlns:a="http://schemas.openxmlformats.org/drawingml/2006/main">
                  <a:graphicData uri="http://schemas.microsoft.com/office/word/2010/wordprocessingShape">
                    <wps:wsp>
                      <wps:cNvSpPr txBox="1"/>
                      <wps:spPr>
                        <a:xfrm>
                          <a:off x="0" y="0"/>
                          <a:ext cx="2259965" cy="854710"/>
                        </a:xfrm>
                        <a:prstGeom prst="rect">
                          <a:avLst/>
                        </a:prstGeom>
                        <a:solidFill>
                          <a:schemeClr val="lt1"/>
                        </a:solidFill>
                        <a:ln w="6350">
                          <a:solidFill>
                            <a:prstClr val="black"/>
                          </a:solidFill>
                        </a:ln>
                      </wps:spPr>
                      <wps:txbx>
                        <w:txbxContent>
                          <w:p w14:paraId="24C9AA16" w14:textId="45211A50" w:rsidR="003F36EE" w:rsidRDefault="003F36EE">
                            <w:r>
                              <w:t>The ADA states that DSMES is critical and that all people with diabetes should participate in DSMES.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60CED" id="_x0000_s1028" type="#_x0000_t202" style="position:absolute;margin-left:328.6pt;margin-top:7.1pt;width:177.95pt;height:67.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" fillcolor="white [3201]" strokeweight=".5pt">
                <v:textbox>
                  <w:txbxContent>
                    <w:p w14:paraId="24C9AA16" w14:textId="45211A50" w:rsidR="003F36EE" w:rsidRDefault="003F36EE">
                      <w:r>
                        <w:t>The ADA states that DSMES is critical and that all people with diabetes should participate in DSMES.</w:t>
                      </w:r>
                    </w:p>
                  </w:txbxContent>
                </v:textbox>
                <w10:wrap type="square"/>
              </v:shape>
            </w:pict>
          </mc:Fallback>
        </mc:AlternateContent>
      </w:r>
      <w:r w:rsidR="00C76AAE" w:rsidRPr="008718C4">
        <w:rPr>
          <w:rFonts w:cs="Arial"/>
        </w:rPr>
        <w:t>All people with T2D are empaneled to a primary care provider</w:t>
      </w:r>
      <w:r w:rsidR="003F36EE" w:rsidRPr="008718C4">
        <w:rPr>
          <w:rFonts w:cs="Arial"/>
        </w:rPr>
        <w:t xml:space="preserve"> and are risk stratified according to A1C values and other criteria, including but not limited to other comorbid conditions, health-related social needs, frailty, etc. Those with the highest risk are provided with enhanced services such as care management and care coordination.</w:t>
      </w:r>
    </w:p>
    <w:p w14:paraId="15467883" w14:textId="08F93DDC" w:rsidR="003F36EE" w:rsidRPr="0074110B" w:rsidRDefault="00980139" w:rsidP="00C76AAE">
      <w:r>
        <w:t>A</w:t>
      </w:r>
      <w:r w:rsidRPr="004E0B29">
        <w:rPr>
          <w:rFonts w:cs="Arial"/>
          <w:highlight w:val="white"/>
        </w:rPr>
        <w:t>ll</w:t>
      </w:r>
      <w:r w:rsidR="003F36EE">
        <w:rPr>
          <w:rFonts w:cs="Arial"/>
          <w:highlight w:val="white"/>
        </w:rPr>
        <w:t xml:space="preserve"> our patients </w:t>
      </w:r>
      <w:r w:rsidR="003F36EE" w:rsidRPr="004E0B29">
        <w:rPr>
          <w:rFonts w:cs="Arial"/>
          <w:highlight w:val="white"/>
        </w:rPr>
        <w:t xml:space="preserve">with diabetes </w:t>
      </w:r>
      <w:r w:rsidR="003F36EE">
        <w:rPr>
          <w:rFonts w:cs="Arial"/>
          <w:highlight w:val="white"/>
        </w:rPr>
        <w:t xml:space="preserve">are strongly encouraged </w:t>
      </w:r>
      <w:r w:rsidR="003F36EE" w:rsidRPr="004E0B29">
        <w:rPr>
          <w:rFonts w:cs="Arial"/>
          <w:highlight w:val="white"/>
        </w:rPr>
        <w:t>to participate in diabetes self-management education and support (DSMES) to facilitate informed decision-making, self-care behaviors, problem-solving, and active collaboration with the health care team</w:t>
      </w:r>
      <w:r w:rsidR="003F36EE">
        <w:rPr>
          <w:rFonts w:cs="Arial"/>
        </w:rPr>
        <w:t>.</w:t>
      </w:r>
    </w:p>
    <w:p w14:paraId="0C7BE032" w14:textId="3A55317B" w:rsidR="003F36EE" w:rsidRDefault="003F36EE" w:rsidP="00C76AAE">
      <w:pPr>
        <w:rPr>
          <w:rFonts w:cs="Arial"/>
        </w:rPr>
      </w:pPr>
    </w:p>
    <w:p w14:paraId="52D9ECF2" w14:textId="43F4B578" w:rsidR="003F36EE" w:rsidRDefault="008F157C" w:rsidP="00C76AAE">
      <w:pPr>
        <w:rPr>
          <w:rFonts w:cs="Arial"/>
        </w:rPr>
      </w:pPr>
      <w:r>
        <w:rPr>
          <w:rFonts w:cs="Arial"/>
        </w:rPr>
        <w:t xml:space="preserve">Appropriate patients in need of care management, care coordination and/or care navigation are </w:t>
      </w:r>
      <w:proofErr w:type="gramStart"/>
      <w:r>
        <w:rPr>
          <w:rFonts w:cs="Arial"/>
        </w:rPr>
        <w:t>referred</w:t>
      </w:r>
      <w:proofErr w:type="gramEnd"/>
      <w:r>
        <w:rPr>
          <w:rFonts w:cs="Arial"/>
        </w:rPr>
        <w:t xml:space="preserve"> as per existing protocols.</w:t>
      </w:r>
    </w:p>
    <w:p w14:paraId="4E010C1E" w14:textId="5D53EDC4" w:rsidR="003F36EE" w:rsidRDefault="003F36EE" w:rsidP="00C76AAE">
      <w:pPr>
        <w:rPr>
          <w:rFonts w:cs="Arial"/>
        </w:rPr>
      </w:pPr>
    </w:p>
    <w:p w14:paraId="7E0B217C" w14:textId="511BD795" w:rsidR="003F36EE" w:rsidRDefault="003F36EE" w:rsidP="00024C70">
      <w:pPr>
        <w:spacing w:after="160" w:line="259" w:lineRule="auto"/>
        <w:rPr>
          <w:rFonts w:cs="Arial"/>
        </w:rPr>
      </w:pPr>
      <w:r>
        <w:rPr>
          <w:rFonts w:cs="Arial"/>
        </w:rPr>
        <w:t>Intensive lifestyle intervention programs and treatment / surgical options (as per primary care provider) are provided for obesity and weight management.</w:t>
      </w:r>
    </w:p>
    <w:p w14:paraId="56F3101B" w14:textId="51455072" w:rsidR="00024C70" w:rsidRDefault="003F36EE" w:rsidP="00C76AAE">
      <w:pPr>
        <w:rPr>
          <w:rFonts w:cs="Arial"/>
        </w:rPr>
      </w:pPr>
      <w:r>
        <w:rPr>
          <w:rFonts w:cs="Arial"/>
        </w:rPr>
        <w:t>Telehealth and other virtual services are offered to expand access and accommodate patients’ preferences and needs.</w:t>
      </w:r>
    </w:p>
    <w:p w14:paraId="797247E7" w14:textId="1C582716" w:rsidR="00024C70" w:rsidRDefault="00024C70" w:rsidP="00024C70">
      <w:pPr>
        <w:pStyle w:val="Heading1"/>
        <w:rPr>
          <w:rFonts w:cs="Arial"/>
        </w:rPr>
      </w:pPr>
      <w:bookmarkStart w:id="37" w:name="_Toc165901478"/>
      <w:r w:rsidRPr="00F73653">
        <w:rPr>
          <w:rFonts w:cs="Arial"/>
        </w:rPr>
        <w:t>Address</w:t>
      </w:r>
      <w:r>
        <w:rPr>
          <w:rFonts w:cs="Arial"/>
        </w:rPr>
        <w:t>ing</w:t>
      </w:r>
      <w:r w:rsidRPr="00F73653">
        <w:rPr>
          <w:rFonts w:cs="Arial"/>
        </w:rPr>
        <w:t xml:space="preserve"> Barriers to Adherence</w:t>
      </w:r>
      <w:bookmarkEnd w:id="37"/>
    </w:p>
    <w:p w14:paraId="303D6F1E" w14:textId="1D1E01D0" w:rsidR="00024C70" w:rsidRPr="00024C70" w:rsidRDefault="00024C70" w:rsidP="00024C70">
      <w:pPr>
        <w:rPr>
          <w:rFonts w:cs="Arial"/>
        </w:rPr>
      </w:pPr>
      <w:r w:rsidRPr="00024C70">
        <w:rPr>
          <w:rFonts w:cs="Arial"/>
        </w:rPr>
        <w:t>Nonadherence to medication treatment plans has been called a public health issue and yet most primary care practices do not have a thoughtful, person-centered approach to identify and address this common problem faced by patients. Up to 25% of people with diabetes taking insulin report cost-related insulin underuse</w:t>
      </w:r>
      <w:r w:rsidRPr="00024C70">
        <w:rPr>
          <w:rStyle w:val="FootnoteReference"/>
          <w:rFonts w:cs="Arial"/>
        </w:rPr>
        <w:footnoteReference w:id="13"/>
      </w:r>
      <w:r w:rsidRPr="00024C70">
        <w:rPr>
          <w:rFonts w:cs="Arial"/>
        </w:rPr>
        <w:t>. Identify and address both primary and secondary nonadherence in the following ways:</w:t>
      </w:r>
    </w:p>
    <w:p w14:paraId="3FDC91AA" w14:textId="77777777" w:rsidR="00024C70" w:rsidRPr="00F73653" w:rsidRDefault="00024C70" w:rsidP="00024C70">
      <w:pPr>
        <w:pStyle w:val="Heading2"/>
      </w:pPr>
      <w:bookmarkStart w:id="38" w:name="_Toc165901479"/>
      <w:r w:rsidRPr="00F73653">
        <w:t>Primary Nonadherence</w:t>
      </w:r>
      <w:bookmarkEnd w:id="38"/>
    </w:p>
    <w:p w14:paraId="0BCCF057" w14:textId="23384CD3" w:rsidR="00024C70" w:rsidRPr="00024C70" w:rsidRDefault="00024C70" w:rsidP="00024C70">
      <w:pPr>
        <w:rPr>
          <w:rFonts w:cs="Arial"/>
        </w:rPr>
      </w:pPr>
      <w:r w:rsidRPr="00024C70">
        <w:rPr>
          <w:rFonts w:cs="Arial"/>
        </w:rPr>
        <w:t>Primary nonadherence occurs when a medication is prescribed for a patient, but the patient does not obtain the medication, or an appropriate alternative, within an acceptable period after it was prescribed. There are a variety of reasons why this can happen, and we strive to address the most common reasons.</w:t>
      </w:r>
    </w:p>
    <w:p w14:paraId="502CFB51" w14:textId="77777777" w:rsidR="00024C70" w:rsidRPr="00024C70" w:rsidRDefault="00024C70" w:rsidP="00024C70">
      <w:pPr>
        <w:rPr>
          <w:rFonts w:cs="Arial"/>
        </w:rPr>
      </w:pPr>
    </w:p>
    <w:p w14:paraId="68B237BA" w14:textId="77777777" w:rsidR="00024C70" w:rsidRPr="00024C70" w:rsidRDefault="00024C70" w:rsidP="00024C70">
      <w:pPr>
        <w:rPr>
          <w:rFonts w:cs="Arial"/>
          <w:i/>
          <w:iCs/>
        </w:rPr>
      </w:pPr>
      <w:r w:rsidRPr="00024C70">
        <w:rPr>
          <w:rFonts w:cs="Arial"/>
          <w:i/>
          <w:iCs/>
        </w:rPr>
        <w:t>Medication Cost</w:t>
      </w:r>
    </w:p>
    <w:p w14:paraId="1810CA97" w14:textId="18903442" w:rsidR="00024C70" w:rsidRPr="00024C70" w:rsidRDefault="00024C70" w:rsidP="00024C70">
      <w:pPr>
        <w:rPr>
          <w:rFonts w:cs="Arial"/>
        </w:rPr>
      </w:pPr>
      <w:r w:rsidRPr="00024C70">
        <w:rPr>
          <w:rFonts w:cs="Arial"/>
        </w:rPr>
        <w:t>Whenever the information is available, our clinicians prescribe medications that are on patients’ insurance formularies by using the [</w:t>
      </w:r>
      <w:r w:rsidRPr="00024C70">
        <w:rPr>
          <w:rFonts w:cs="Arial"/>
          <w:highlight w:val="yellow"/>
        </w:rPr>
        <w:t>insert any EHR features that assist with formularies and co-pay info].</w:t>
      </w:r>
      <w:r w:rsidRPr="00024C70">
        <w:rPr>
          <w:rFonts w:cs="Arial"/>
        </w:rPr>
        <w:t xml:space="preserve"> or smart phone apps (e.g., </w:t>
      </w:r>
      <w:proofErr w:type="spellStart"/>
      <w:r w:rsidRPr="00024C70">
        <w:rPr>
          <w:rFonts w:cs="Arial"/>
        </w:rPr>
        <w:t>ePocrates</w:t>
      </w:r>
      <w:proofErr w:type="spellEnd"/>
      <w:r w:rsidRPr="00024C70">
        <w:rPr>
          <w:rFonts w:cs="Arial"/>
        </w:rPr>
        <w:t>). For patients on Medi-Cal we prescribe medications that are on the Medi-Cal Rx Contract Drugs List and send those prescriptions only to pharmacies that work with Medi-Cal Rx. For patients without a prescription benefit, we use our internal dispensary.</w:t>
      </w:r>
    </w:p>
    <w:p w14:paraId="5738CB89" w14:textId="77777777" w:rsidR="00024C70" w:rsidRPr="00E30E37" w:rsidRDefault="00024C70" w:rsidP="00024C70">
      <w:pPr>
        <w:rPr>
          <w:rFonts w:cs="Arial"/>
          <w:sz w:val="22"/>
          <w:szCs w:val="22"/>
        </w:rPr>
      </w:pPr>
    </w:p>
    <w:p w14:paraId="38E527F4" w14:textId="77777777" w:rsidR="00024C70" w:rsidRPr="00024C70" w:rsidRDefault="00024C70" w:rsidP="00024C70">
      <w:pPr>
        <w:rPr>
          <w:rFonts w:cs="Arial"/>
        </w:rPr>
      </w:pPr>
      <w:r w:rsidRPr="00024C70">
        <w:rPr>
          <w:rFonts w:cs="Arial"/>
        </w:rPr>
        <w:t>For each medication on the patient’s list, enter the amount (if known) that the patient pays for each medication. Double-check with the patient to be sure that they can afford the medications we and others involved in their care are prescribing. If not, confer with the patient’s PCP.</w:t>
      </w:r>
    </w:p>
    <w:p w14:paraId="43AF869E" w14:textId="77777777" w:rsidR="00024C70" w:rsidRPr="00024C70" w:rsidRDefault="00024C70" w:rsidP="00024C70">
      <w:pPr>
        <w:rPr>
          <w:rFonts w:cs="Arial"/>
          <w:i/>
          <w:iCs/>
        </w:rPr>
      </w:pPr>
    </w:p>
    <w:p w14:paraId="3FCC30AB" w14:textId="77777777" w:rsidR="00024C70" w:rsidRPr="00024C70" w:rsidRDefault="00024C70" w:rsidP="00024C70">
      <w:pPr>
        <w:rPr>
          <w:rFonts w:cs="Arial"/>
          <w:i/>
          <w:iCs/>
        </w:rPr>
      </w:pPr>
      <w:r w:rsidRPr="00024C70">
        <w:rPr>
          <w:rFonts w:cs="Arial"/>
          <w:i/>
          <w:iCs/>
        </w:rPr>
        <w:t>Transportation</w:t>
      </w:r>
    </w:p>
    <w:p w14:paraId="53342770" w14:textId="19BBBD2B" w:rsidR="00024C70" w:rsidRPr="00024C70" w:rsidRDefault="00024C70" w:rsidP="6D26DF3A">
      <w:pPr>
        <w:pStyle w:val="NormalWeb"/>
        <w:shd w:val="clear" w:color="auto" w:fill="FFFFFF" w:themeFill="background1"/>
        <w:spacing w:before="0" w:beforeAutospacing="0" w:after="384" w:afterAutospacing="0"/>
        <w:textAlignment w:val="baseline"/>
        <w:rPr>
          <w:rFonts w:cs="Arial"/>
          <w:sz w:val="24"/>
        </w:rPr>
      </w:pPr>
      <w:r w:rsidRPr="139A7EBE">
        <w:rPr>
          <w:rFonts w:cs="Arial"/>
          <w:sz w:val="24"/>
        </w:rPr>
        <w:t xml:space="preserve">We identify and address transportation issues specific to patients’ ability to get to the pharmacy to pick up medications. If there are any issues, we work with the patient to find an affordable, acceptable option for transportation, including but not limited to managed care plan transportation assistance and the Medi-Cal Rx solution as well. “Members may also receive transportation services from PHC California to get to pharmacies. To learn more about transportation services, call Member Services at </w:t>
      </w:r>
      <w:r w:rsidR="065D145E" w:rsidRPr="139A7EBE">
        <w:rPr>
          <w:rFonts w:cs="Arial"/>
          <w:sz w:val="24"/>
          <w:highlight w:val="yellow"/>
        </w:rPr>
        <w:t>1-800-XXX-</w:t>
      </w:r>
      <w:r w:rsidR="2E83D602" w:rsidRPr="139A7EBE">
        <w:rPr>
          <w:rFonts w:cs="Arial"/>
          <w:sz w:val="24"/>
          <w:highlight w:val="yellow"/>
        </w:rPr>
        <w:t>XXXX</w:t>
      </w:r>
      <w:r w:rsidR="065D145E" w:rsidRPr="139A7EBE">
        <w:rPr>
          <w:rFonts w:cs="Arial"/>
          <w:sz w:val="24"/>
        </w:rPr>
        <w:t xml:space="preserve"> </w:t>
      </w:r>
      <w:r w:rsidRPr="139A7EBE">
        <w:rPr>
          <w:rFonts w:cs="Arial"/>
          <w:sz w:val="24"/>
        </w:rPr>
        <w:t xml:space="preserve">(TTY 711).” Despite these options for transportation services, they are not always readily available or convenient for patients. For select patients we assist with mail order prescriptions, provided they have a stable living situation and mailing address and </w:t>
      </w:r>
      <w:proofErr w:type="gramStart"/>
      <w:r w:rsidRPr="139A7EBE">
        <w:rPr>
          <w:rFonts w:cs="Arial"/>
          <w:sz w:val="24"/>
        </w:rPr>
        <w:t>are able to</w:t>
      </w:r>
      <w:proofErr w:type="gramEnd"/>
      <w:r w:rsidRPr="139A7EBE">
        <w:rPr>
          <w:rFonts w:cs="Arial"/>
          <w:sz w:val="24"/>
        </w:rPr>
        <w:t xml:space="preserve"> pay online if needed for prescriptions.</w:t>
      </w:r>
    </w:p>
    <w:p w14:paraId="12D9D16D" w14:textId="77777777" w:rsidR="00024C70" w:rsidRPr="00024C70" w:rsidRDefault="00024C70" w:rsidP="00024C70">
      <w:pPr>
        <w:rPr>
          <w:rFonts w:cs="Arial"/>
          <w:i/>
          <w:iCs/>
        </w:rPr>
      </w:pPr>
      <w:r w:rsidRPr="00024C70">
        <w:rPr>
          <w:rFonts w:cs="Arial"/>
          <w:i/>
          <w:iCs/>
        </w:rPr>
        <w:t>Lack of Understanding the Reason/Importance</w:t>
      </w:r>
    </w:p>
    <w:p w14:paraId="4943FEFD" w14:textId="00E6BAE1" w:rsidR="00024C70" w:rsidRPr="00024C70" w:rsidRDefault="00024C70" w:rsidP="00024C70">
      <w:pPr>
        <w:rPr>
          <w:rFonts w:cs="Arial"/>
        </w:rPr>
      </w:pPr>
      <w:r w:rsidRPr="00024C70">
        <w:rPr>
          <w:rFonts w:cs="Arial"/>
        </w:rPr>
        <w:t xml:space="preserve">If a patient does not want to fill the prescription, we provide education on the importance of taking the medication. </w:t>
      </w:r>
    </w:p>
    <w:p w14:paraId="509A192F" w14:textId="77777777" w:rsidR="00024C70" w:rsidRPr="00024C70" w:rsidRDefault="00024C70" w:rsidP="00024C70">
      <w:pPr>
        <w:rPr>
          <w:rFonts w:cs="Arial"/>
        </w:rPr>
      </w:pPr>
    </w:p>
    <w:p w14:paraId="42C501C8" w14:textId="77777777" w:rsidR="00024C70" w:rsidRPr="00024C70" w:rsidRDefault="00024C70" w:rsidP="00024C70">
      <w:pPr>
        <w:rPr>
          <w:rFonts w:cs="Arial"/>
          <w:i/>
          <w:iCs/>
        </w:rPr>
      </w:pPr>
      <w:r w:rsidRPr="00024C70">
        <w:rPr>
          <w:rFonts w:cs="Arial"/>
          <w:i/>
          <w:iCs/>
        </w:rPr>
        <w:t>Additional Considerations</w:t>
      </w:r>
    </w:p>
    <w:p w14:paraId="1AE22A1A" w14:textId="7E2009BA" w:rsidR="00024C70" w:rsidRPr="00024C70" w:rsidRDefault="00024C70" w:rsidP="00024C70">
      <w:pPr>
        <w:shd w:val="clear" w:color="auto" w:fill="FFFFFF"/>
        <w:rPr>
          <w:rFonts w:cs="Arial"/>
        </w:rPr>
      </w:pPr>
      <w:r w:rsidRPr="00024C70">
        <w:rPr>
          <w:rFonts w:cs="Arial"/>
        </w:rPr>
        <w:t>We prescribe 90-day supplies when safe and appropriate to reduce the number of times that a patient needs to travel to a pharmacy to pick up medications.</w:t>
      </w:r>
    </w:p>
    <w:p w14:paraId="7175F61E" w14:textId="77777777" w:rsidR="00024C70" w:rsidRPr="00F73653" w:rsidRDefault="00024C70" w:rsidP="00024C70">
      <w:pPr>
        <w:pStyle w:val="Heading2"/>
      </w:pPr>
      <w:bookmarkStart w:id="39" w:name="_Toc165901480"/>
      <w:r w:rsidRPr="00F73653">
        <w:t>Secondary Nonadherence</w:t>
      </w:r>
      <w:bookmarkEnd w:id="39"/>
    </w:p>
    <w:p w14:paraId="2EFCE65E" w14:textId="6B2BF3F0" w:rsidR="003F36EE" w:rsidRPr="00024C70" w:rsidRDefault="00024C70" w:rsidP="00C76AAE">
      <w:pPr>
        <w:rPr>
          <w:rFonts w:cs="Arial"/>
          <w:color w:val="262626" w:themeColor="text1" w:themeTint="D9"/>
        </w:rPr>
      </w:pPr>
      <w:r w:rsidRPr="00024C70">
        <w:rPr>
          <w:rFonts w:cs="Arial"/>
        </w:rPr>
        <w:t>Recognizing that most people struggle to remember to take medications or even their daily vitamins every day, we simplify dosing regimens and work to help patients develop strategies to take their medications as prescribed.</w:t>
      </w:r>
    </w:p>
    <w:p w14:paraId="6FFD1669" w14:textId="77777777" w:rsidR="000236C0" w:rsidRPr="00371D69" w:rsidRDefault="000236C0" w:rsidP="000236C0">
      <w:pPr>
        <w:pStyle w:val="Heading1"/>
      </w:pPr>
      <w:bookmarkStart w:id="40" w:name="_Toc172721053"/>
      <w:bookmarkStart w:id="41" w:name="_Toc172721810"/>
      <w:r w:rsidRPr="00371D69">
        <w:t>Quality Improvement Strategy</w:t>
      </w:r>
      <w:bookmarkEnd w:id="40"/>
      <w:bookmarkEnd w:id="41"/>
    </w:p>
    <w:p w14:paraId="5B519DA6" w14:textId="77777777" w:rsidR="000236C0" w:rsidRPr="00024C70" w:rsidRDefault="000236C0" w:rsidP="000236C0">
      <w:pPr>
        <w:rPr>
          <w:rFonts w:cs="Arial"/>
          <w:color w:val="000000"/>
        </w:rPr>
      </w:pPr>
      <w:r w:rsidRPr="00024C70">
        <w:rPr>
          <w:rFonts w:cs="Arial"/>
          <w:b/>
          <w:bCs/>
          <w:color w:val="000000"/>
        </w:rPr>
        <w:t>Measures</w:t>
      </w:r>
      <w:r w:rsidRPr="00024C70">
        <w:rPr>
          <w:rFonts w:cs="Arial"/>
          <w:color w:val="000000"/>
        </w:rPr>
        <w:t>. We include the following measures to ensure high-quality healthcare delivery for our people with T2D and to identify opportunities to improve. These measures are obtained monthly, and each has an associated SMARTIE aim (specific, measurable, actionable, realistic, time-bound, inclusive and equity-based (or equitable)).</w:t>
      </w:r>
    </w:p>
    <w:p w14:paraId="6519CB89" w14:textId="77777777" w:rsidR="000236C0" w:rsidRPr="00024C70" w:rsidRDefault="000236C0" w:rsidP="000236C0">
      <w:pPr>
        <w:rPr>
          <w:rFonts w:cs="Arial"/>
          <w:color w:val="000000"/>
        </w:rPr>
      </w:pPr>
    </w:p>
    <w:tbl>
      <w:tblPr>
        <w:tblStyle w:val="TableGrid"/>
        <w:tblW w:w="0" w:type="auto"/>
        <w:tblLook w:val="04A0" w:firstRow="1" w:lastRow="0" w:firstColumn="1" w:lastColumn="0" w:noHBand="0" w:noVBand="1"/>
      </w:tblPr>
      <w:tblGrid>
        <w:gridCol w:w="5125"/>
        <w:gridCol w:w="1530"/>
        <w:gridCol w:w="1345"/>
        <w:gridCol w:w="1350"/>
      </w:tblGrid>
      <w:tr w:rsidR="000236C0" w:rsidRPr="00024C70" w14:paraId="16680FDC" w14:textId="77777777" w:rsidTr="001B758B">
        <w:tc>
          <w:tcPr>
            <w:tcW w:w="5125" w:type="dxa"/>
            <w:shd w:val="clear" w:color="auto" w:fill="C5E0B3" w:themeFill="accent6" w:themeFillTint="66"/>
          </w:tcPr>
          <w:p w14:paraId="29A225A1" w14:textId="77777777" w:rsidR="000236C0" w:rsidRPr="001B758B" w:rsidRDefault="000236C0" w:rsidP="00EC1D73">
            <w:pPr>
              <w:rPr>
                <w:rFonts w:cs="Arial"/>
                <w:color w:val="000000" w:themeColor="text1"/>
              </w:rPr>
            </w:pPr>
            <w:r w:rsidRPr="001B758B">
              <w:rPr>
                <w:rFonts w:cs="Arial"/>
                <w:color w:val="000000" w:themeColor="text1"/>
              </w:rPr>
              <w:t>Measure (% means percent adults with T2D)</w:t>
            </w:r>
          </w:p>
        </w:tc>
        <w:tc>
          <w:tcPr>
            <w:tcW w:w="1530" w:type="dxa"/>
            <w:shd w:val="clear" w:color="auto" w:fill="C5E0B3" w:themeFill="accent6" w:themeFillTint="66"/>
          </w:tcPr>
          <w:p w14:paraId="4C8A69AE" w14:textId="77777777" w:rsidR="000236C0" w:rsidRPr="001B758B" w:rsidRDefault="000236C0" w:rsidP="00EC1D73">
            <w:pPr>
              <w:rPr>
                <w:rFonts w:cs="Arial"/>
                <w:color w:val="000000" w:themeColor="text1"/>
              </w:rPr>
            </w:pPr>
            <w:r w:rsidRPr="001B758B">
              <w:rPr>
                <w:rFonts w:cs="Arial"/>
                <w:color w:val="000000" w:themeColor="text1"/>
              </w:rPr>
              <w:t>Outcome or Process</w:t>
            </w:r>
          </w:p>
        </w:tc>
        <w:tc>
          <w:tcPr>
            <w:tcW w:w="1345" w:type="dxa"/>
            <w:shd w:val="clear" w:color="auto" w:fill="C5E0B3" w:themeFill="accent6" w:themeFillTint="66"/>
          </w:tcPr>
          <w:p w14:paraId="75050A08" w14:textId="77777777" w:rsidR="000236C0" w:rsidRPr="001B758B" w:rsidRDefault="000236C0" w:rsidP="00EC1D73">
            <w:pPr>
              <w:rPr>
                <w:rFonts w:cs="Arial"/>
                <w:color w:val="000000" w:themeColor="text1"/>
              </w:rPr>
            </w:pPr>
            <w:r w:rsidRPr="001B758B">
              <w:rPr>
                <w:rFonts w:cs="Arial"/>
                <w:color w:val="000000" w:themeColor="text1"/>
              </w:rPr>
              <w:t>SMARTIE Aim (Y/N)</w:t>
            </w:r>
          </w:p>
        </w:tc>
        <w:tc>
          <w:tcPr>
            <w:tcW w:w="1350" w:type="dxa"/>
            <w:shd w:val="clear" w:color="auto" w:fill="C5E0B3" w:themeFill="accent6" w:themeFillTint="66"/>
          </w:tcPr>
          <w:p w14:paraId="5D5EBC3B" w14:textId="77777777" w:rsidR="000236C0" w:rsidRPr="001B758B" w:rsidRDefault="000236C0" w:rsidP="00EC1D73">
            <w:pPr>
              <w:rPr>
                <w:rFonts w:cs="Arial"/>
                <w:color w:val="000000" w:themeColor="text1"/>
              </w:rPr>
            </w:pPr>
            <w:r w:rsidRPr="001B758B">
              <w:rPr>
                <w:rFonts w:cs="Arial"/>
                <w:color w:val="000000" w:themeColor="text1"/>
              </w:rPr>
              <w:t>Frequency of Report</w:t>
            </w:r>
          </w:p>
        </w:tc>
      </w:tr>
      <w:tr w:rsidR="000236C0" w:rsidRPr="00024C70" w14:paraId="0845A79C" w14:textId="77777777" w:rsidTr="00EC1D73">
        <w:tc>
          <w:tcPr>
            <w:tcW w:w="5125" w:type="dxa"/>
          </w:tcPr>
          <w:p w14:paraId="31351808" w14:textId="77777777" w:rsidR="000236C0" w:rsidRPr="00024C70" w:rsidRDefault="000236C0" w:rsidP="00EC1D73">
            <w:pPr>
              <w:rPr>
                <w:rFonts w:cs="Arial"/>
                <w:color w:val="000000"/>
              </w:rPr>
            </w:pPr>
            <w:r w:rsidRPr="00024C70">
              <w:rPr>
                <w:rFonts w:cs="Arial"/>
                <w:color w:val="000000"/>
              </w:rPr>
              <w:t>% with A1C &gt; 9%</w:t>
            </w:r>
          </w:p>
        </w:tc>
        <w:tc>
          <w:tcPr>
            <w:tcW w:w="1530" w:type="dxa"/>
          </w:tcPr>
          <w:p w14:paraId="5CE7ABB8" w14:textId="77777777" w:rsidR="000236C0" w:rsidRPr="00024C70" w:rsidRDefault="000236C0" w:rsidP="00EC1D73">
            <w:pPr>
              <w:rPr>
                <w:rFonts w:cs="Arial"/>
                <w:color w:val="000000"/>
              </w:rPr>
            </w:pPr>
            <w:r w:rsidRPr="00024C70">
              <w:rPr>
                <w:rFonts w:cs="Arial"/>
                <w:color w:val="000000"/>
              </w:rPr>
              <w:t>Outcome</w:t>
            </w:r>
          </w:p>
        </w:tc>
        <w:tc>
          <w:tcPr>
            <w:tcW w:w="1345" w:type="dxa"/>
          </w:tcPr>
          <w:p w14:paraId="3EB39041" w14:textId="77777777" w:rsidR="000236C0" w:rsidRPr="00024C70" w:rsidRDefault="000236C0" w:rsidP="00EC1D73">
            <w:pPr>
              <w:rPr>
                <w:rFonts w:cs="Arial"/>
                <w:color w:val="000000"/>
              </w:rPr>
            </w:pPr>
          </w:p>
        </w:tc>
        <w:tc>
          <w:tcPr>
            <w:tcW w:w="1350" w:type="dxa"/>
          </w:tcPr>
          <w:p w14:paraId="09B1E25C" w14:textId="77777777" w:rsidR="000236C0" w:rsidRPr="00024C70" w:rsidRDefault="000236C0" w:rsidP="00EC1D73">
            <w:pPr>
              <w:rPr>
                <w:rFonts w:cs="Arial"/>
                <w:color w:val="000000"/>
              </w:rPr>
            </w:pPr>
          </w:p>
        </w:tc>
      </w:tr>
      <w:tr w:rsidR="000236C0" w:rsidRPr="00024C70" w14:paraId="2801D813" w14:textId="77777777" w:rsidTr="00EC1D73">
        <w:tc>
          <w:tcPr>
            <w:tcW w:w="5125" w:type="dxa"/>
          </w:tcPr>
          <w:p w14:paraId="733BCA62" w14:textId="77777777" w:rsidR="000236C0" w:rsidRPr="00024C70" w:rsidRDefault="000236C0" w:rsidP="00EC1D73">
            <w:pPr>
              <w:rPr>
                <w:rFonts w:cs="Arial"/>
                <w:color w:val="000000"/>
              </w:rPr>
            </w:pPr>
            <w:r w:rsidRPr="00024C70">
              <w:rPr>
                <w:rFonts w:cs="Arial"/>
                <w:color w:val="000000"/>
              </w:rPr>
              <w:t>% referred to or participating in DSMES</w:t>
            </w:r>
          </w:p>
        </w:tc>
        <w:tc>
          <w:tcPr>
            <w:tcW w:w="1530" w:type="dxa"/>
          </w:tcPr>
          <w:p w14:paraId="57D01314" w14:textId="77777777" w:rsidR="000236C0" w:rsidRPr="00024C70" w:rsidRDefault="000236C0" w:rsidP="00EC1D73">
            <w:pPr>
              <w:rPr>
                <w:rFonts w:cs="Arial"/>
                <w:color w:val="000000"/>
              </w:rPr>
            </w:pPr>
            <w:r w:rsidRPr="00024C70">
              <w:rPr>
                <w:rFonts w:cs="Arial"/>
                <w:color w:val="000000"/>
              </w:rPr>
              <w:t>Process</w:t>
            </w:r>
          </w:p>
        </w:tc>
        <w:tc>
          <w:tcPr>
            <w:tcW w:w="1345" w:type="dxa"/>
          </w:tcPr>
          <w:p w14:paraId="6478BB4F" w14:textId="77777777" w:rsidR="000236C0" w:rsidRPr="00024C70" w:rsidRDefault="000236C0" w:rsidP="00EC1D73">
            <w:pPr>
              <w:rPr>
                <w:rFonts w:cs="Arial"/>
                <w:color w:val="000000"/>
              </w:rPr>
            </w:pPr>
          </w:p>
        </w:tc>
        <w:tc>
          <w:tcPr>
            <w:tcW w:w="1350" w:type="dxa"/>
          </w:tcPr>
          <w:p w14:paraId="06B6A5C3" w14:textId="77777777" w:rsidR="000236C0" w:rsidRPr="00024C70" w:rsidRDefault="000236C0" w:rsidP="00EC1D73">
            <w:pPr>
              <w:rPr>
                <w:rFonts w:cs="Arial"/>
                <w:color w:val="000000"/>
              </w:rPr>
            </w:pPr>
          </w:p>
        </w:tc>
      </w:tr>
      <w:tr w:rsidR="000236C0" w:rsidRPr="00024C70" w14:paraId="77B5098A" w14:textId="77777777" w:rsidTr="00EC1D73">
        <w:tc>
          <w:tcPr>
            <w:tcW w:w="5125" w:type="dxa"/>
          </w:tcPr>
          <w:p w14:paraId="69CB0726" w14:textId="77777777" w:rsidR="000236C0" w:rsidRPr="00024C70" w:rsidRDefault="000236C0" w:rsidP="00EC1D73">
            <w:pPr>
              <w:rPr>
                <w:rFonts w:cs="Arial"/>
                <w:color w:val="000000"/>
              </w:rPr>
            </w:pPr>
            <w:r w:rsidRPr="00024C70">
              <w:rPr>
                <w:rFonts w:cs="Arial"/>
                <w:color w:val="000000"/>
              </w:rPr>
              <w:t>% screened for health-related social needs</w:t>
            </w:r>
          </w:p>
        </w:tc>
        <w:tc>
          <w:tcPr>
            <w:tcW w:w="1530" w:type="dxa"/>
          </w:tcPr>
          <w:p w14:paraId="2CDE2A20" w14:textId="41CFA5E6" w:rsidR="000236C0" w:rsidRPr="00024C70" w:rsidRDefault="00935DFF" w:rsidP="00EC1D73">
            <w:pPr>
              <w:rPr>
                <w:rFonts w:cs="Arial"/>
                <w:color w:val="000000"/>
              </w:rPr>
            </w:pPr>
            <w:r w:rsidRPr="00024C70">
              <w:rPr>
                <w:rFonts w:cs="Arial"/>
                <w:color w:val="000000"/>
              </w:rPr>
              <w:t>Process</w:t>
            </w:r>
          </w:p>
        </w:tc>
        <w:tc>
          <w:tcPr>
            <w:tcW w:w="1345" w:type="dxa"/>
          </w:tcPr>
          <w:p w14:paraId="6202E7FD" w14:textId="77777777" w:rsidR="000236C0" w:rsidRPr="00024C70" w:rsidRDefault="000236C0" w:rsidP="00EC1D73">
            <w:pPr>
              <w:rPr>
                <w:rFonts w:cs="Arial"/>
                <w:color w:val="000000"/>
              </w:rPr>
            </w:pPr>
          </w:p>
        </w:tc>
        <w:tc>
          <w:tcPr>
            <w:tcW w:w="1350" w:type="dxa"/>
          </w:tcPr>
          <w:p w14:paraId="248AB100" w14:textId="77777777" w:rsidR="000236C0" w:rsidRPr="00024C70" w:rsidRDefault="000236C0" w:rsidP="00EC1D73">
            <w:pPr>
              <w:rPr>
                <w:rFonts w:cs="Arial"/>
                <w:color w:val="000000"/>
              </w:rPr>
            </w:pPr>
          </w:p>
        </w:tc>
      </w:tr>
      <w:tr w:rsidR="000236C0" w:rsidRPr="00024C70" w14:paraId="131B57BA" w14:textId="77777777" w:rsidTr="00EC1D73">
        <w:tc>
          <w:tcPr>
            <w:tcW w:w="5125" w:type="dxa"/>
          </w:tcPr>
          <w:p w14:paraId="773BEA57" w14:textId="77777777" w:rsidR="000236C0" w:rsidRPr="00024C70" w:rsidRDefault="000236C0" w:rsidP="00EC1D73">
            <w:pPr>
              <w:rPr>
                <w:rFonts w:cs="Arial"/>
                <w:color w:val="000000"/>
              </w:rPr>
            </w:pPr>
            <w:r w:rsidRPr="00024C70">
              <w:rPr>
                <w:rFonts w:cs="Arial"/>
                <w:color w:val="000000"/>
              </w:rPr>
              <w:t>% screened for behavioral health issues (e.g., depression, anxiety and/or diabetes stress)</w:t>
            </w:r>
          </w:p>
        </w:tc>
        <w:tc>
          <w:tcPr>
            <w:tcW w:w="1530" w:type="dxa"/>
          </w:tcPr>
          <w:p w14:paraId="509A0B82" w14:textId="1EC73C28" w:rsidR="000236C0" w:rsidRPr="00024C70" w:rsidRDefault="00935DFF" w:rsidP="00EC1D73">
            <w:pPr>
              <w:rPr>
                <w:rFonts w:cs="Arial"/>
                <w:color w:val="000000"/>
              </w:rPr>
            </w:pPr>
            <w:r w:rsidRPr="00024C70">
              <w:rPr>
                <w:rFonts w:cs="Arial"/>
                <w:color w:val="000000"/>
              </w:rPr>
              <w:t>Process</w:t>
            </w:r>
          </w:p>
        </w:tc>
        <w:tc>
          <w:tcPr>
            <w:tcW w:w="1345" w:type="dxa"/>
          </w:tcPr>
          <w:p w14:paraId="40B85677" w14:textId="77777777" w:rsidR="000236C0" w:rsidRPr="00024C70" w:rsidRDefault="000236C0" w:rsidP="00EC1D73">
            <w:pPr>
              <w:rPr>
                <w:rFonts w:cs="Arial"/>
                <w:color w:val="000000"/>
              </w:rPr>
            </w:pPr>
          </w:p>
        </w:tc>
        <w:tc>
          <w:tcPr>
            <w:tcW w:w="1350" w:type="dxa"/>
          </w:tcPr>
          <w:p w14:paraId="7AD9DDB5" w14:textId="77777777" w:rsidR="000236C0" w:rsidRPr="00024C70" w:rsidRDefault="000236C0" w:rsidP="00EC1D73">
            <w:pPr>
              <w:rPr>
                <w:rFonts w:cs="Arial"/>
                <w:color w:val="000000"/>
              </w:rPr>
            </w:pPr>
          </w:p>
        </w:tc>
      </w:tr>
      <w:tr w:rsidR="000236C0" w:rsidRPr="00024C70" w14:paraId="3516C6B6" w14:textId="77777777" w:rsidTr="00EC1D73">
        <w:tc>
          <w:tcPr>
            <w:tcW w:w="5125" w:type="dxa"/>
          </w:tcPr>
          <w:p w14:paraId="1B012E80" w14:textId="77777777" w:rsidR="000236C0" w:rsidRPr="00024C70" w:rsidRDefault="000236C0" w:rsidP="00EC1D73">
            <w:pPr>
              <w:rPr>
                <w:rFonts w:cs="Arial"/>
                <w:color w:val="000000"/>
              </w:rPr>
            </w:pPr>
            <w:r w:rsidRPr="00024C70">
              <w:rPr>
                <w:rFonts w:cs="Arial"/>
                <w:color w:val="000000"/>
              </w:rPr>
              <w:t>% screened for ACEs and toxic stress</w:t>
            </w:r>
          </w:p>
        </w:tc>
        <w:tc>
          <w:tcPr>
            <w:tcW w:w="1530" w:type="dxa"/>
          </w:tcPr>
          <w:p w14:paraId="17619342" w14:textId="4F25B0F1" w:rsidR="000236C0" w:rsidRPr="00024C70" w:rsidRDefault="00935DFF" w:rsidP="00EC1D73">
            <w:pPr>
              <w:rPr>
                <w:rFonts w:cs="Arial"/>
                <w:color w:val="000000"/>
              </w:rPr>
            </w:pPr>
            <w:r w:rsidRPr="00024C70">
              <w:rPr>
                <w:rFonts w:cs="Arial"/>
                <w:color w:val="000000"/>
              </w:rPr>
              <w:t>Process</w:t>
            </w:r>
          </w:p>
        </w:tc>
        <w:tc>
          <w:tcPr>
            <w:tcW w:w="1345" w:type="dxa"/>
          </w:tcPr>
          <w:p w14:paraId="155B0BA5" w14:textId="77777777" w:rsidR="000236C0" w:rsidRPr="00024C70" w:rsidRDefault="000236C0" w:rsidP="00EC1D73">
            <w:pPr>
              <w:rPr>
                <w:rFonts w:cs="Arial"/>
                <w:color w:val="000000"/>
              </w:rPr>
            </w:pPr>
          </w:p>
        </w:tc>
        <w:tc>
          <w:tcPr>
            <w:tcW w:w="1350" w:type="dxa"/>
          </w:tcPr>
          <w:p w14:paraId="60DA630D" w14:textId="77777777" w:rsidR="000236C0" w:rsidRPr="00024C70" w:rsidRDefault="000236C0" w:rsidP="00EC1D73">
            <w:pPr>
              <w:rPr>
                <w:rFonts w:cs="Arial"/>
                <w:color w:val="000000"/>
              </w:rPr>
            </w:pPr>
          </w:p>
        </w:tc>
      </w:tr>
      <w:tr w:rsidR="000236C0" w:rsidRPr="00024C70" w14:paraId="17B3BB64" w14:textId="77777777" w:rsidTr="00EC1D73">
        <w:tc>
          <w:tcPr>
            <w:tcW w:w="5125" w:type="dxa"/>
          </w:tcPr>
          <w:p w14:paraId="45D1F78D" w14:textId="77777777" w:rsidR="000236C0" w:rsidRPr="00024C70" w:rsidRDefault="000236C0" w:rsidP="00EC1D73">
            <w:pPr>
              <w:rPr>
                <w:rFonts w:cs="Arial"/>
                <w:color w:val="000000"/>
              </w:rPr>
            </w:pPr>
            <w:r w:rsidRPr="00024C70">
              <w:rPr>
                <w:rFonts w:cs="Arial"/>
                <w:color w:val="000000"/>
              </w:rPr>
              <w:t xml:space="preserve">% with current A1C </w:t>
            </w:r>
          </w:p>
        </w:tc>
        <w:tc>
          <w:tcPr>
            <w:tcW w:w="1530" w:type="dxa"/>
          </w:tcPr>
          <w:p w14:paraId="2312C859" w14:textId="77777777" w:rsidR="000236C0" w:rsidRPr="00024C70" w:rsidRDefault="000236C0" w:rsidP="00EC1D73">
            <w:pPr>
              <w:rPr>
                <w:rFonts w:cs="Arial"/>
                <w:color w:val="000000"/>
              </w:rPr>
            </w:pPr>
            <w:r w:rsidRPr="00024C70">
              <w:rPr>
                <w:rFonts w:cs="Arial"/>
                <w:color w:val="000000"/>
              </w:rPr>
              <w:t>Process</w:t>
            </w:r>
          </w:p>
        </w:tc>
        <w:tc>
          <w:tcPr>
            <w:tcW w:w="1345" w:type="dxa"/>
          </w:tcPr>
          <w:p w14:paraId="229CB5EE" w14:textId="77777777" w:rsidR="000236C0" w:rsidRPr="00024C70" w:rsidRDefault="000236C0" w:rsidP="00EC1D73">
            <w:pPr>
              <w:rPr>
                <w:rFonts w:cs="Arial"/>
                <w:color w:val="000000"/>
              </w:rPr>
            </w:pPr>
          </w:p>
        </w:tc>
        <w:tc>
          <w:tcPr>
            <w:tcW w:w="1350" w:type="dxa"/>
          </w:tcPr>
          <w:p w14:paraId="70FC3CC1" w14:textId="77777777" w:rsidR="000236C0" w:rsidRPr="00024C70" w:rsidRDefault="000236C0" w:rsidP="00EC1D73">
            <w:pPr>
              <w:rPr>
                <w:rFonts w:cs="Arial"/>
                <w:color w:val="000000"/>
              </w:rPr>
            </w:pPr>
          </w:p>
        </w:tc>
      </w:tr>
      <w:tr w:rsidR="000236C0" w:rsidRPr="00024C70" w14:paraId="3A87CB28" w14:textId="77777777" w:rsidTr="00EC1D73">
        <w:tc>
          <w:tcPr>
            <w:tcW w:w="5125" w:type="dxa"/>
          </w:tcPr>
          <w:p w14:paraId="6528A7CB" w14:textId="77777777" w:rsidR="000236C0" w:rsidRPr="00024C70" w:rsidRDefault="000236C0" w:rsidP="00EC1D73">
            <w:pPr>
              <w:rPr>
                <w:rFonts w:cs="Arial"/>
                <w:color w:val="000000"/>
              </w:rPr>
            </w:pPr>
            <w:r w:rsidRPr="00024C70">
              <w:rPr>
                <w:rFonts w:cs="Arial"/>
                <w:color w:val="000000"/>
              </w:rPr>
              <w:t>% screened for CKD with both UACR and eGFR</w:t>
            </w:r>
          </w:p>
        </w:tc>
        <w:tc>
          <w:tcPr>
            <w:tcW w:w="1530" w:type="dxa"/>
          </w:tcPr>
          <w:p w14:paraId="63BA06FD" w14:textId="77777777" w:rsidR="000236C0" w:rsidRPr="00024C70" w:rsidRDefault="000236C0" w:rsidP="00EC1D73">
            <w:pPr>
              <w:rPr>
                <w:rFonts w:cs="Arial"/>
                <w:color w:val="000000"/>
              </w:rPr>
            </w:pPr>
            <w:r w:rsidRPr="00024C70">
              <w:rPr>
                <w:rFonts w:cs="Arial"/>
                <w:color w:val="000000"/>
              </w:rPr>
              <w:t>Process</w:t>
            </w:r>
          </w:p>
        </w:tc>
        <w:tc>
          <w:tcPr>
            <w:tcW w:w="1345" w:type="dxa"/>
          </w:tcPr>
          <w:p w14:paraId="72AAF57E" w14:textId="77777777" w:rsidR="000236C0" w:rsidRPr="00024C70" w:rsidRDefault="000236C0" w:rsidP="00EC1D73">
            <w:pPr>
              <w:rPr>
                <w:rFonts w:cs="Arial"/>
                <w:color w:val="000000"/>
              </w:rPr>
            </w:pPr>
          </w:p>
        </w:tc>
        <w:tc>
          <w:tcPr>
            <w:tcW w:w="1350" w:type="dxa"/>
          </w:tcPr>
          <w:p w14:paraId="2398DDF5" w14:textId="77777777" w:rsidR="000236C0" w:rsidRPr="00024C70" w:rsidRDefault="000236C0" w:rsidP="00EC1D73">
            <w:pPr>
              <w:rPr>
                <w:rFonts w:cs="Arial"/>
                <w:color w:val="000000"/>
              </w:rPr>
            </w:pPr>
          </w:p>
        </w:tc>
      </w:tr>
      <w:tr w:rsidR="000236C0" w:rsidRPr="00024C70" w14:paraId="4BA00850" w14:textId="77777777" w:rsidTr="00EC1D73">
        <w:tc>
          <w:tcPr>
            <w:tcW w:w="5125" w:type="dxa"/>
          </w:tcPr>
          <w:p w14:paraId="06899E7E" w14:textId="77777777" w:rsidR="000236C0" w:rsidRPr="00024C70" w:rsidRDefault="000236C0" w:rsidP="00EC1D73">
            <w:pPr>
              <w:rPr>
                <w:rFonts w:cs="Arial"/>
                <w:color w:val="000000"/>
              </w:rPr>
            </w:pPr>
            <w:r w:rsidRPr="00024C70">
              <w:rPr>
                <w:rFonts w:cs="Arial"/>
                <w:color w:val="000000"/>
              </w:rPr>
              <w:t xml:space="preserve">% with CKD on </w:t>
            </w:r>
            <w:r w:rsidRPr="00024C70">
              <w:rPr>
                <w:rFonts w:cs="Arial"/>
                <w:color w:val="383636"/>
                <w:shd w:val="clear" w:color="auto" w:fill="FFFFFF"/>
              </w:rPr>
              <w:t>SGLT2i in individuals with eGFR ≥20 mL/min/1.73 m</w:t>
            </w:r>
            <w:r w:rsidRPr="00024C70">
              <w:rPr>
                <w:rFonts w:cs="Arial"/>
                <w:color w:val="383636"/>
                <w:bdr w:val="none" w:sz="0" w:space="0" w:color="auto" w:frame="1"/>
                <w:shd w:val="clear" w:color="auto" w:fill="FFFFFF"/>
                <w:vertAlign w:val="superscript"/>
              </w:rPr>
              <w:t>2</w:t>
            </w:r>
            <w:r w:rsidRPr="00024C70">
              <w:rPr>
                <w:rFonts w:cs="Arial"/>
                <w:color w:val="383636"/>
                <w:shd w:val="clear" w:color="auto" w:fill="FFFFFF"/>
              </w:rPr>
              <w:t> and urinary albumin ≥200 mg/g creatinine</w:t>
            </w:r>
            <w:r w:rsidRPr="00024C70">
              <w:rPr>
                <w:rStyle w:val="FootnoteReference"/>
                <w:rFonts w:cs="Arial"/>
                <w:color w:val="383636"/>
                <w:shd w:val="clear" w:color="auto" w:fill="FFFFFF"/>
              </w:rPr>
              <w:footnoteReference w:id="14"/>
            </w:r>
          </w:p>
        </w:tc>
        <w:tc>
          <w:tcPr>
            <w:tcW w:w="1530" w:type="dxa"/>
          </w:tcPr>
          <w:p w14:paraId="6891FCE5" w14:textId="77777777" w:rsidR="000236C0" w:rsidRPr="00024C70" w:rsidRDefault="000236C0" w:rsidP="00EC1D73">
            <w:pPr>
              <w:rPr>
                <w:rFonts w:cs="Arial"/>
                <w:color w:val="000000"/>
              </w:rPr>
            </w:pPr>
            <w:r w:rsidRPr="00024C70">
              <w:rPr>
                <w:rFonts w:cs="Arial"/>
                <w:color w:val="000000"/>
              </w:rPr>
              <w:t>Process</w:t>
            </w:r>
          </w:p>
        </w:tc>
        <w:tc>
          <w:tcPr>
            <w:tcW w:w="1345" w:type="dxa"/>
          </w:tcPr>
          <w:p w14:paraId="439FD514" w14:textId="77777777" w:rsidR="000236C0" w:rsidRPr="00024C70" w:rsidRDefault="000236C0" w:rsidP="00EC1D73">
            <w:pPr>
              <w:rPr>
                <w:rFonts w:cs="Arial"/>
                <w:color w:val="000000"/>
              </w:rPr>
            </w:pPr>
          </w:p>
        </w:tc>
        <w:tc>
          <w:tcPr>
            <w:tcW w:w="1350" w:type="dxa"/>
          </w:tcPr>
          <w:p w14:paraId="65BE2BB7" w14:textId="77777777" w:rsidR="000236C0" w:rsidRPr="00024C70" w:rsidRDefault="000236C0" w:rsidP="00EC1D73">
            <w:pPr>
              <w:rPr>
                <w:rFonts w:cs="Arial"/>
                <w:color w:val="000000"/>
              </w:rPr>
            </w:pPr>
          </w:p>
        </w:tc>
      </w:tr>
      <w:tr w:rsidR="000236C0" w:rsidRPr="00024C70" w14:paraId="0F13873B" w14:textId="77777777" w:rsidTr="00EC1D73">
        <w:tc>
          <w:tcPr>
            <w:tcW w:w="5125" w:type="dxa"/>
          </w:tcPr>
          <w:p w14:paraId="556BB011" w14:textId="77777777" w:rsidR="000236C0" w:rsidRPr="00024C70" w:rsidRDefault="000236C0" w:rsidP="00EC1D73">
            <w:pPr>
              <w:rPr>
                <w:rFonts w:cs="Arial"/>
                <w:color w:val="000000"/>
              </w:rPr>
            </w:pPr>
            <w:r w:rsidRPr="00024C70">
              <w:rPr>
                <w:rFonts w:cs="Arial"/>
                <w:color w:val="000000"/>
              </w:rPr>
              <w:t>% on ACE-I or ARB for those with moderately increased UACR or severely increased UACR or eGFR &lt; 60</w:t>
            </w:r>
            <w:r w:rsidRPr="00024C70">
              <w:rPr>
                <w:rStyle w:val="FootnoteReference"/>
                <w:rFonts w:cs="Arial"/>
                <w:color w:val="000000"/>
              </w:rPr>
              <w:footnoteReference w:id="15"/>
            </w:r>
          </w:p>
        </w:tc>
        <w:tc>
          <w:tcPr>
            <w:tcW w:w="1530" w:type="dxa"/>
          </w:tcPr>
          <w:p w14:paraId="1F4E4F33" w14:textId="77777777" w:rsidR="000236C0" w:rsidRPr="00024C70" w:rsidRDefault="000236C0" w:rsidP="00EC1D73">
            <w:pPr>
              <w:rPr>
                <w:rFonts w:cs="Arial"/>
                <w:color w:val="000000"/>
              </w:rPr>
            </w:pPr>
            <w:r w:rsidRPr="00024C70">
              <w:rPr>
                <w:rFonts w:cs="Arial"/>
                <w:color w:val="000000"/>
              </w:rPr>
              <w:t>Process</w:t>
            </w:r>
          </w:p>
        </w:tc>
        <w:tc>
          <w:tcPr>
            <w:tcW w:w="1345" w:type="dxa"/>
          </w:tcPr>
          <w:p w14:paraId="1A4114E5" w14:textId="77777777" w:rsidR="000236C0" w:rsidRPr="00024C70" w:rsidRDefault="000236C0" w:rsidP="00EC1D73">
            <w:pPr>
              <w:rPr>
                <w:rFonts w:cs="Arial"/>
                <w:color w:val="000000"/>
              </w:rPr>
            </w:pPr>
          </w:p>
        </w:tc>
        <w:tc>
          <w:tcPr>
            <w:tcW w:w="1350" w:type="dxa"/>
          </w:tcPr>
          <w:p w14:paraId="4DCB65F7" w14:textId="77777777" w:rsidR="000236C0" w:rsidRPr="00024C70" w:rsidRDefault="000236C0" w:rsidP="00EC1D73">
            <w:pPr>
              <w:rPr>
                <w:rFonts w:cs="Arial"/>
                <w:color w:val="000000"/>
              </w:rPr>
            </w:pPr>
          </w:p>
        </w:tc>
      </w:tr>
      <w:tr w:rsidR="000236C0" w:rsidRPr="00024C70" w14:paraId="5F86F73A" w14:textId="77777777" w:rsidTr="00EC1D73">
        <w:tc>
          <w:tcPr>
            <w:tcW w:w="5125" w:type="dxa"/>
          </w:tcPr>
          <w:p w14:paraId="7B379562" w14:textId="77777777" w:rsidR="000236C0" w:rsidRPr="00024C70" w:rsidRDefault="000236C0" w:rsidP="00EC1D73">
            <w:pPr>
              <w:rPr>
                <w:rFonts w:cs="Arial"/>
                <w:color w:val="000000"/>
              </w:rPr>
            </w:pPr>
            <w:r w:rsidRPr="00024C70">
              <w:rPr>
                <w:rFonts w:cs="Arial"/>
                <w:color w:val="000000"/>
              </w:rPr>
              <w:t>% with screened for retinopathy every year (unless screening frequency is every 2 years, if appropriate)</w:t>
            </w:r>
          </w:p>
        </w:tc>
        <w:tc>
          <w:tcPr>
            <w:tcW w:w="1530" w:type="dxa"/>
          </w:tcPr>
          <w:p w14:paraId="1E6ABE39" w14:textId="77777777" w:rsidR="000236C0" w:rsidRPr="00024C70" w:rsidRDefault="000236C0" w:rsidP="00EC1D73">
            <w:pPr>
              <w:rPr>
                <w:rFonts w:cs="Arial"/>
                <w:color w:val="000000"/>
              </w:rPr>
            </w:pPr>
            <w:r w:rsidRPr="00024C70">
              <w:rPr>
                <w:rFonts w:cs="Arial"/>
                <w:color w:val="000000"/>
              </w:rPr>
              <w:t>Process</w:t>
            </w:r>
          </w:p>
        </w:tc>
        <w:tc>
          <w:tcPr>
            <w:tcW w:w="1345" w:type="dxa"/>
          </w:tcPr>
          <w:p w14:paraId="001060A9" w14:textId="77777777" w:rsidR="000236C0" w:rsidRPr="00024C70" w:rsidRDefault="000236C0" w:rsidP="00EC1D73">
            <w:pPr>
              <w:rPr>
                <w:rFonts w:cs="Arial"/>
                <w:color w:val="000000"/>
              </w:rPr>
            </w:pPr>
          </w:p>
        </w:tc>
        <w:tc>
          <w:tcPr>
            <w:tcW w:w="1350" w:type="dxa"/>
          </w:tcPr>
          <w:p w14:paraId="0F58DF9B" w14:textId="77777777" w:rsidR="000236C0" w:rsidRPr="00024C70" w:rsidRDefault="000236C0" w:rsidP="00EC1D73">
            <w:pPr>
              <w:rPr>
                <w:rFonts w:cs="Arial"/>
                <w:color w:val="000000"/>
              </w:rPr>
            </w:pPr>
          </w:p>
        </w:tc>
      </w:tr>
      <w:tr w:rsidR="000236C0" w:rsidRPr="00024C70" w14:paraId="414333FD" w14:textId="77777777" w:rsidTr="00EC1D73">
        <w:tc>
          <w:tcPr>
            <w:tcW w:w="5125" w:type="dxa"/>
          </w:tcPr>
          <w:p w14:paraId="57C76339" w14:textId="77777777" w:rsidR="000236C0" w:rsidRPr="00024C70" w:rsidRDefault="000236C0" w:rsidP="00EC1D73">
            <w:pPr>
              <w:rPr>
                <w:rFonts w:cs="Arial"/>
                <w:color w:val="000000"/>
              </w:rPr>
            </w:pPr>
            <w:r w:rsidRPr="00024C70">
              <w:rPr>
                <w:rFonts w:cs="Arial"/>
                <w:color w:val="000000"/>
              </w:rPr>
              <w:t>% with BP &lt; 140/90 (or &lt; 130/80)</w:t>
            </w:r>
            <w:r w:rsidRPr="00024C70">
              <w:rPr>
                <w:rStyle w:val="FootnoteReference"/>
                <w:rFonts w:cs="Arial"/>
                <w:color w:val="000000"/>
              </w:rPr>
              <w:footnoteReference w:id="16"/>
            </w:r>
          </w:p>
        </w:tc>
        <w:tc>
          <w:tcPr>
            <w:tcW w:w="1530" w:type="dxa"/>
          </w:tcPr>
          <w:p w14:paraId="173672B4" w14:textId="77777777" w:rsidR="000236C0" w:rsidRPr="00024C70" w:rsidRDefault="000236C0" w:rsidP="00EC1D73">
            <w:pPr>
              <w:rPr>
                <w:rFonts w:cs="Arial"/>
                <w:color w:val="000000"/>
              </w:rPr>
            </w:pPr>
            <w:r w:rsidRPr="00024C70">
              <w:rPr>
                <w:rFonts w:cs="Arial"/>
                <w:color w:val="000000"/>
              </w:rPr>
              <w:t>Outcome</w:t>
            </w:r>
          </w:p>
        </w:tc>
        <w:tc>
          <w:tcPr>
            <w:tcW w:w="1345" w:type="dxa"/>
          </w:tcPr>
          <w:p w14:paraId="1EDB1392" w14:textId="77777777" w:rsidR="000236C0" w:rsidRPr="00024C70" w:rsidRDefault="000236C0" w:rsidP="00EC1D73">
            <w:pPr>
              <w:rPr>
                <w:rFonts w:cs="Arial"/>
                <w:color w:val="000000"/>
              </w:rPr>
            </w:pPr>
          </w:p>
        </w:tc>
        <w:tc>
          <w:tcPr>
            <w:tcW w:w="1350" w:type="dxa"/>
          </w:tcPr>
          <w:p w14:paraId="558A9A02" w14:textId="77777777" w:rsidR="000236C0" w:rsidRPr="00024C70" w:rsidRDefault="000236C0" w:rsidP="00EC1D73">
            <w:pPr>
              <w:rPr>
                <w:rFonts w:cs="Arial"/>
                <w:color w:val="000000"/>
              </w:rPr>
            </w:pPr>
          </w:p>
        </w:tc>
      </w:tr>
      <w:tr w:rsidR="000236C0" w:rsidRPr="00024C70" w14:paraId="1445D701" w14:textId="77777777" w:rsidTr="00EC1D73">
        <w:tc>
          <w:tcPr>
            <w:tcW w:w="5125" w:type="dxa"/>
          </w:tcPr>
          <w:p w14:paraId="4A2E5504" w14:textId="77777777" w:rsidR="000236C0" w:rsidRPr="00024C70" w:rsidRDefault="000236C0" w:rsidP="00EC1D73">
            <w:pPr>
              <w:rPr>
                <w:rFonts w:cs="Arial"/>
                <w:color w:val="000000"/>
              </w:rPr>
            </w:pPr>
            <w:r w:rsidRPr="00024C70">
              <w:rPr>
                <w:rFonts w:cs="Arial"/>
                <w:color w:val="000000"/>
              </w:rPr>
              <w:t>% with comprehensive foot exam, including screening for PAD and peripheral neuropathy</w:t>
            </w:r>
          </w:p>
        </w:tc>
        <w:tc>
          <w:tcPr>
            <w:tcW w:w="1530" w:type="dxa"/>
          </w:tcPr>
          <w:p w14:paraId="6E8047B4" w14:textId="77777777" w:rsidR="000236C0" w:rsidRPr="00024C70" w:rsidRDefault="000236C0" w:rsidP="00EC1D73">
            <w:pPr>
              <w:rPr>
                <w:rFonts w:cs="Arial"/>
                <w:color w:val="000000"/>
              </w:rPr>
            </w:pPr>
            <w:r w:rsidRPr="00024C70">
              <w:rPr>
                <w:rFonts w:cs="Arial"/>
                <w:color w:val="000000"/>
              </w:rPr>
              <w:t>Process</w:t>
            </w:r>
          </w:p>
        </w:tc>
        <w:tc>
          <w:tcPr>
            <w:tcW w:w="1345" w:type="dxa"/>
          </w:tcPr>
          <w:p w14:paraId="4A4BA8A5" w14:textId="77777777" w:rsidR="000236C0" w:rsidRPr="00024C70" w:rsidRDefault="000236C0" w:rsidP="00EC1D73">
            <w:pPr>
              <w:rPr>
                <w:rFonts w:cs="Arial"/>
                <w:color w:val="000000"/>
              </w:rPr>
            </w:pPr>
          </w:p>
        </w:tc>
        <w:tc>
          <w:tcPr>
            <w:tcW w:w="1350" w:type="dxa"/>
          </w:tcPr>
          <w:p w14:paraId="53919D21" w14:textId="77777777" w:rsidR="000236C0" w:rsidRPr="00024C70" w:rsidRDefault="000236C0" w:rsidP="00EC1D73">
            <w:pPr>
              <w:rPr>
                <w:rFonts w:cs="Arial"/>
                <w:color w:val="000000"/>
              </w:rPr>
            </w:pPr>
          </w:p>
        </w:tc>
      </w:tr>
      <w:tr w:rsidR="000236C0" w:rsidRPr="00024C70" w14:paraId="19FB418F" w14:textId="77777777" w:rsidTr="00EC1D73">
        <w:tc>
          <w:tcPr>
            <w:tcW w:w="5125" w:type="dxa"/>
          </w:tcPr>
          <w:p w14:paraId="5655F6F0" w14:textId="77777777" w:rsidR="000236C0" w:rsidRPr="00024C70" w:rsidRDefault="000236C0" w:rsidP="00EC1D73">
            <w:pPr>
              <w:rPr>
                <w:rFonts w:cs="Arial"/>
                <w:color w:val="000000"/>
              </w:rPr>
            </w:pPr>
            <w:r w:rsidRPr="00024C70">
              <w:rPr>
                <w:rFonts w:cs="Arial"/>
                <w:color w:val="000000"/>
              </w:rPr>
              <w:t>% 40-75 years of age who have diabetes and who do not have clinical ASCVD, who received and adhered to statin therapy</w:t>
            </w:r>
          </w:p>
        </w:tc>
        <w:tc>
          <w:tcPr>
            <w:tcW w:w="1530" w:type="dxa"/>
          </w:tcPr>
          <w:p w14:paraId="3AEF2A28" w14:textId="77777777" w:rsidR="000236C0" w:rsidRPr="00024C70" w:rsidRDefault="000236C0" w:rsidP="00EC1D73">
            <w:pPr>
              <w:rPr>
                <w:rFonts w:cs="Arial"/>
                <w:color w:val="000000"/>
              </w:rPr>
            </w:pPr>
            <w:r w:rsidRPr="00024C70">
              <w:rPr>
                <w:rFonts w:cs="Arial"/>
                <w:color w:val="000000"/>
              </w:rPr>
              <w:t>Process</w:t>
            </w:r>
          </w:p>
        </w:tc>
        <w:tc>
          <w:tcPr>
            <w:tcW w:w="1345" w:type="dxa"/>
          </w:tcPr>
          <w:p w14:paraId="043119A0" w14:textId="77777777" w:rsidR="000236C0" w:rsidRPr="00024C70" w:rsidRDefault="000236C0" w:rsidP="00EC1D73">
            <w:pPr>
              <w:rPr>
                <w:rFonts w:cs="Arial"/>
                <w:color w:val="000000"/>
              </w:rPr>
            </w:pPr>
          </w:p>
        </w:tc>
        <w:tc>
          <w:tcPr>
            <w:tcW w:w="1350" w:type="dxa"/>
          </w:tcPr>
          <w:p w14:paraId="6AB0C179" w14:textId="77777777" w:rsidR="000236C0" w:rsidRPr="00024C70" w:rsidRDefault="000236C0" w:rsidP="00EC1D73">
            <w:pPr>
              <w:rPr>
                <w:rFonts w:cs="Arial"/>
                <w:color w:val="000000"/>
              </w:rPr>
            </w:pPr>
          </w:p>
        </w:tc>
      </w:tr>
      <w:tr w:rsidR="000236C0" w:rsidRPr="00024C70" w14:paraId="50FDE6F8" w14:textId="77777777" w:rsidTr="00EC1D73">
        <w:tc>
          <w:tcPr>
            <w:tcW w:w="5125" w:type="dxa"/>
          </w:tcPr>
          <w:p w14:paraId="570ED56D" w14:textId="77777777" w:rsidR="000236C0" w:rsidRPr="00024C70" w:rsidRDefault="000236C0" w:rsidP="00EC1D73">
            <w:pPr>
              <w:rPr>
                <w:rFonts w:cs="Arial"/>
                <w:color w:val="000000"/>
              </w:rPr>
            </w:pPr>
            <w:r w:rsidRPr="00024C70">
              <w:rPr>
                <w:rFonts w:cs="Arial"/>
                <w:color w:val="000000"/>
              </w:rPr>
              <w:t xml:space="preserve">% with lipid panel in </w:t>
            </w:r>
            <w:proofErr w:type="gramStart"/>
            <w:r w:rsidRPr="00024C70">
              <w:rPr>
                <w:rFonts w:cs="Arial"/>
                <w:color w:val="000000"/>
              </w:rPr>
              <w:t>past</w:t>
            </w:r>
            <w:proofErr w:type="gramEnd"/>
            <w:r w:rsidRPr="00024C70">
              <w:rPr>
                <w:rFonts w:cs="Arial"/>
                <w:color w:val="000000"/>
              </w:rPr>
              <w:t xml:space="preserve"> 12 months</w:t>
            </w:r>
          </w:p>
        </w:tc>
        <w:tc>
          <w:tcPr>
            <w:tcW w:w="1530" w:type="dxa"/>
          </w:tcPr>
          <w:p w14:paraId="6F1EA590" w14:textId="77777777" w:rsidR="000236C0" w:rsidRPr="00024C70" w:rsidRDefault="000236C0" w:rsidP="00EC1D73">
            <w:pPr>
              <w:rPr>
                <w:rFonts w:cs="Arial"/>
                <w:color w:val="000000"/>
              </w:rPr>
            </w:pPr>
            <w:r w:rsidRPr="00024C70">
              <w:rPr>
                <w:rFonts w:cs="Arial"/>
                <w:color w:val="000000"/>
              </w:rPr>
              <w:t>Process</w:t>
            </w:r>
          </w:p>
        </w:tc>
        <w:tc>
          <w:tcPr>
            <w:tcW w:w="1345" w:type="dxa"/>
          </w:tcPr>
          <w:p w14:paraId="05C285E5" w14:textId="77777777" w:rsidR="000236C0" w:rsidRPr="00024C70" w:rsidRDefault="000236C0" w:rsidP="00EC1D73">
            <w:pPr>
              <w:rPr>
                <w:rFonts w:cs="Arial"/>
                <w:color w:val="000000"/>
              </w:rPr>
            </w:pPr>
          </w:p>
        </w:tc>
        <w:tc>
          <w:tcPr>
            <w:tcW w:w="1350" w:type="dxa"/>
          </w:tcPr>
          <w:p w14:paraId="129749FB" w14:textId="77777777" w:rsidR="000236C0" w:rsidRPr="00024C70" w:rsidRDefault="000236C0" w:rsidP="00EC1D73">
            <w:pPr>
              <w:rPr>
                <w:rFonts w:cs="Arial"/>
                <w:color w:val="000000"/>
              </w:rPr>
            </w:pPr>
          </w:p>
        </w:tc>
      </w:tr>
      <w:tr w:rsidR="000236C0" w:rsidRPr="00024C70" w14:paraId="37673DDA" w14:textId="77777777" w:rsidTr="00EC1D73">
        <w:tc>
          <w:tcPr>
            <w:tcW w:w="5125" w:type="dxa"/>
          </w:tcPr>
          <w:p w14:paraId="37928831" w14:textId="77777777" w:rsidR="000236C0" w:rsidRPr="00024C70" w:rsidRDefault="000236C0" w:rsidP="00EC1D73">
            <w:pPr>
              <w:rPr>
                <w:rFonts w:cs="Arial"/>
                <w:color w:val="000000"/>
              </w:rPr>
            </w:pPr>
            <w:r w:rsidRPr="00024C70">
              <w:rPr>
                <w:rFonts w:cs="Arial"/>
                <w:color w:val="000000"/>
              </w:rPr>
              <w:t>% with no history of CVD with LDL &lt; 100 mg/dL; and % with history of CVD with LDL &lt; 70 mg/dL</w:t>
            </w:r>
          </w:p>
        </w:tc>
        <w:tc>
          <w:tcPr>
            <w:tcW w:w="1530" w:type="dxa"/>
          </w:tcPr>
          <w:p w14:paraId="0B7FA050" w14:textId="77777777" w:rsidR="000236C0" w:rsidRPr="00024C70" w:rsidRDefault="000236C0" w:rsidP="00EC1D73">
            <w:pPr>
              <w:rPr>
                <w:rFonts w:cs="Arial"/>
                <w:color w:val="000000"/>
              </w:rPr>
            </w:pPr>
            <w:r w:rsidRPr="00024C70">
              <w:rPr>
                <w:rFonts w:cs="Arial"/>
                <w:color w:val="000000"/>
              </w:rPr>
              <w:t>Outcome</w:t>
            </w:r>
          </w:p>
        </w:tc>
        <w:tc>
          <w:tcPr>
            <w:tcW w:w="1345" w:type="dxa"/>
          </w:tcPr>
          <w:p w14:paraId="3A35CEBE" w14:textId="77777777" w:rsidR="000236C0" w:rsidRPr="00024C70" w:rsidRDefault="000236C0" w:rsidP="00EC1D73">
            <w:pPr>
              <w:rPr>
                <w:rFonts w:cs="Arial"/>
                <w:color w:val="000000"/>
              </w:rPr>
            </w:pPr>
          </w:p>
        </w:tc>
        <w:tc>
          <w:tcPr>
            <w:tcW w:w="1350" w:type="dxa"/>
          </w:tcPr>
          <w:p w14:paraId="3D4912E9" w14:textId="77777777" w:rsidR="000236C0" w:rsidRPr="00024C70" w:rsidRDefault="000236C0" w:rsidP="00EC1D73">
            <w:pPr>
              <w:rPr>
                <w:rFonts w:cs="Arial"/>
                <w:color w:val="000000"/>
              </w:rPr>
            </w:pPr>
          </w:p>
        </w:tc>
      </w:tr>
      <w:tr w:rsidR="000236C0" w:rsidRPr="00024C70" w14:paraId="113CA893" w14:textId="77777777" w:rsidTr="00EC1D73">
        <w:tc>
          <w:tcPr>
            <w:tcW w:w="5125" w:type="dxa"/>
          </w:tcPr>
          <w:p w14:paraId="0EBC996F" w14:textId="77777777" w:rsidR="000236C0" w:rsidRPr="00024C70" w:rsidRDefault="000236C0" w:rsidP="00EC1D73">
            <w:pPr>
              <w:rPr>
                <w:rFonts w:cs="Arial"/>
                <w:color w:val="000000"/>
              </w:rPr>
            </w:pPr>
            <w:r w:rsidRPr="00024C70">
              <w:rPr>
                <w:rFonts w:cs="Arial"/>
                <w:color w:val="000000"/>
              </w:rPr>
              <w:t>% with BMI ≥ 30 (consider % of those receiving high-frequency (≥ 16 sessions/6 months) counseling on nutrition changes, physical activity and behavioral strategies) and/or those on obesity pharmacotherapy)</w:t>
            </w:r>
          </w:p>
        </w:tc>
        <w:tc>
          <w:tcPr>
            <w:tcW w:w="1530" w:type="dxa"/>
          </w:tcPr>
          <w:p w14:paraId="7456E481" w14:textId="77777777" w:rsidR="000236C0" w:rsidRPr="00024C70" w:rsidRDefault="000236C0" w:rsidP="00EC1D73">
            <w:pPr>
              <w:rPr>
                <w:rFonts w:cs="Arial"/>
                <w:color w:val="000000"/>
              </w:rPr>
            </w:pPr>
            <w:r w:rsidRPr="00024C70">
              <w:rPr>
                <w:rFonts w:cs="Arial"/>
                <w:color w:val="000000"/>
              </w:rPr>
              <w:t>Outcome (process for the other two)</w:t>
            </w:r>
          </w:p>
        </w:tc>
        <w:tc>
          <w:tcPr>
            <w:tcW w:w="1345" w:type="dxa"/>
          </w:tcPr>
          <w:p w14:paraId="44891702" w14:textId="77777777" w:rsidR="000236C0" w:rsidRPr="00024C70" w:rsidRDefault="000236C0" w:rsidP="00EC1D73">
            <w:pPr>
              <w:rPr>
                <w:rFonts w:cs="Arial"/>
                <w:color w:val="000000"/>
              </w:rPr>
            </w:pPr>
          </w:p>
        </w:tc>
        <w:tc>
          <w:tcPr>
            <w:tcW w:w="1350" w:type="dxa"/>
          </w:tcPr>
          <w:p w14:paraId="5A448204" w14:textId="77777777" w:rsidR="000236C0" w:rsidRPr="00024C70" w:rsidRDefault="000236C0" w:rsidP="00EC1D73">
            <w:pPr>
              <w:rPr>
                <w:rFonts w:cs="Arial"/>
                <w:color w:val="000000"/>
              </w:rPr>
            </w:pPr>
          </w:p>
        </w:tc>
      </w:tr>
      <w:tr w:rsidR="000236C0" w:rsidRPr="00024C70" w14:paraId="649B0055" w14:textId="77777777" w:rsidTr="00EC1D73">
        <w:tc>
          <w:tcPr>
            <w:tcW w:w="5125" w:type="dxa"/>
          </w:tcPr>
          <w:p w14:paraId="5F1BD010" w14:textId="77777777" w:rsidR="000236C0" w:rsidRPr="00024C70" w:rsidRDefault="000236C0" w:rsidP="00EC1D73">
            <w:pPr>
              <w:rPr>
                <w:rFonts w:cs="Arial"/>
                <w:color w:val="000000"/>
              </w:rPr>
            </w:pPr>
            <w:r w:rsidRPr="00024C70">
              <w:rPr>
                <w:rFonts w:cs="Arial"/>
                <w:color w:val="000000"/>
              </w:rPr>
              <w:t>% of visits in the visits in measurement period with A1C above goal for which there was an intensification of pharmacological therapy</w:t>
            </w:r>
          </w:p>
        </w:tc>
        <w:tc>
          <w:tcPr>
            <w:tcW w:w="1530" w:type="dxa"/>
          </w:tcPr>
          <w:p w14:paraId="4909ECA6" w14:textId="77777777" w:rsidR="000236C0" w:rsidRPr="00024C70" w:rsidRDefault="000236C0" w:rsidP="00EC1D73">
            <w:pPr>
              <w:rPr>
                <w:rFonts w:cs="Arial"/>
                <w:color w:val="000000"/>
              </w:rPr>
            </w:pPr>
            <w:r w:rsidRPr="00024C70">
              <w:rPr>
                <w:rFonts w:cs="Arial"/>
                <w:color w:val="000000"/>
              </w:rPr>
              <w:t>Process</w:t>
            </w:r>
          </w:p>
        </w:tc>
        <w:tc>
          <w:tcPr>
            <w:tcW w:w="1345" w:type="dxa"/>
          </w:tcPr>
          <w:p w14:paraId="1CC8794B" w14:textId="77777777" w:rsidR="000236C0" w:rsidRPr="00024C70" w:rsidRDefault="000236C0" w:rsidP="00EC1D73">
            <w:pPr>
              <w:rPr>
                <w:rFonts w:cs="Arial"/>
                <w:color w:val="000000"/>
              </w:rPr>
            </w:pPr>
          </w:p>
        </w:tc>
        <w:tc>
          <w:tcPr>
            <w:tcW w:w="1350" w:type="dxa"/>
          </w:tcPr>
          <w:p w14:paraId="51E1F5AE" w14:textId="77777777" w:rsidR="000236C0" w:rsidRPr="00024C70" w:rsidRDefault="000236C0" w:rsidP="00EC1D73">
            <w:pPr>
              <w:rPr>
                <w:rFonts w:cs="Arial"/>
                <w:color w:val="000000"/>
              </w:rPr>
            </w:pPr>
          </w:p>
        </w:tc>
      </w:tr>
      <w:tr w:rsidR="000236C0" w:rsidRPr="00024C70" w14:paraId="2D08FB67" w14:textId="77777777" w:rsidTr="00EC1D73">
        <w:tc>
          <w:tcPr>
            <w:tcW w:w="9350" w:type="dxa"/>
            <w:gridSpan w:val="4"/>
          </w:tcPr>
          <w:p w14:paraId="29689AD7" w14:textId="77777777" w:rsidR="000236C0" w:rsidRPr="00024C70" w:rsidRDefault="000236C0" w:rsidP="00EC1D73">
            <w:pPr>
              <w:rPr>
                <w:rFonts w:cs="Arial"/>
                <w:color w:val="000000"/>
              </w:rPr>
            </w:pPr>
            <w:r w:rsidRPr="00024C70">
              <w:rPr>
                <w:rFonts w:cs="Arial"/>
                <w:color w:val="000000"/>
              </w:rPr>
              <w:t xml:space="preserve">ACE – adverse childhood experiences; A1C – glycated hemoglobin; ARB – angiotensin receptor blocker; ASCVD – atherosclerotic cardiovascular disease; BP – blood pressure; BMI – body mass index; CKD – chronic kidney disease; CVD – cardiovascular disease; DSMES – diabetes self-management education and support; eGFR – estimated glomerular filtration rate; PAD – peripheral arterial disease; SGLT2i - </w:t>
            </w:r>
            <w:r w:rsidRPr="00024C70">
              <w:rPr>
                <w:rFonts w:cs="Arial"/>
                <w:color w:val="383636"/>
                <w:shd w:val="clear" w:color="auto" w:fill="FFFFFF"/>
              </w:rPr>
              <w:t>sodium–glucose cotransporter 2 inhibitor; UACR – urine albumin-to-creatinine ratio</w:t>
            </w:r>
          </w:p>
        </w:tc>
      </w:tr>
    </w:tbl>
    <w:p w14:paraId="6A052858" w14:textId="77777777" w:rsidR="000236C0" w:rsidRPr="00371D69" w:rsidRDefault="000236C0" w:rsidP="000236C0">
      <w:pPr>
        <w:rPr>
          <w:rFonts w:cs="Arial"/>
          <w:color w:val="000000"/>
        </w:rPr>
      </w:pPr>
    </w:p>
    <w:p w14:paraId="21950787" w14:textId="1C1A349B" w:rsidR="000236C0" w:rsidRPr="000236C0" w:rsidRDefault="000236C0" w:rsidP="000236C0">
      <w:pPr>
        <w:rPr>
          <w:rFonts w:cs="Arial"/>
          <w:color w:val="000000"/>
        </w:rPr>
      </w:pPr>
      <w:r w:rsidRPr="000236C0">
        <w:rPr>
          <w:rFonts w:cs="Arial"/>
          <w:color w:val="000000"/>
        </w:rPr>
        <w:t xml:space="preserve">As part of our quality improvement </w:t>
      </w:r>
      <w:r w:rsidR="00980139" w:rsidRPr="000236C0">
        <w:rPr>
          <w:rFonts w:cs="Arial"/>
          <w:color w:val="000000"/>
        </w:rPr>
        <w:t>strategy,</w:t>
      </w:r>
      <w:r w:rsidRPr="000236C0">
        <w:rPr>
          <w:rFonts w:cs="Arial"/>
          <w:color w:val="000000"/>
        </w:rPr>
        <w:t xml:space="preserve"> we have the following in place.</w:t>
      </w:r>
    </w:p>
    <w:p w14:paraId="36346418" w14:textId="77777777" w:rsidR="000236C0" w:rsidRDefault="000236C0" w:rsidP="000236C0">
      <w:pPr>
        <w:rPr>
          <w:rFonts w:cs="Arial"/>
          <w:b/>
          <w:bCs/>
          <w:color w:val="000000"/>
        </w:rPr>
      </w:pPr>
    </w:p>
    <w:p w14:paraId="62E9A836" w14:textId="63F7D85D" w:rsidR="000236C0" w:rsidRPr="00371D69" w:rsidRDefault="000236C0" w:rsidP="000236C0">
      <w:pPr>
        <w:rPr>
          <w:rFonts w:cs="Arial"/>
          <w:color w:val="000000"/>
        </w:rPr>
      </w:pPr>
      <w:r w:rsidRPr="00371D69">
        <w:rPr>
          <w:rFonts w:cs="Arial"/>
          <w:b/>
          <w:bCs/>
          <w:color w:val="000000"/>
        </w:rPr>
        <w:t>Aim Statements</w:t>
      </w:r>
    </w:p>
    <w:p w14:paraId="38E6FD34" w14:textId="36357934" w:rsidR="000236C0" w:rsidRPr="00371D69" w:rsidRDefault="000236C0" w:rsidP="000236C0">
      <w:pPr>
        <w:rPr>
          <w:rFonts w:cs="Arial"/>
          <w:color w:val="000000"/>
        </w:rPr>
      </w:pPr>
      <w:r w:rsidRPr="00371D69">
        <w:rPr>
          <w:rFonts w:cs="Arial"/>
          <w:color w:val="000000"/>
        </w:rPr>
        <w:t>Create SMART</w:t>
      </w:r>
      <w:r>
        <w:rPr>
          <w:rFonts w:cs="Arial"/>
          <w:color w:val="000000"/>
        </w:rPr>
        <w:t>(I</w:t>
      </w:r>
      <w:r w:rsidRPr="00371D69">
        <w:rPr>
          <w:rFonts w:cs="Arial"/>
          <w:color w:val="000000"/>
        </w:rPr>
        <w:t>E</w:t>
      </w:r>
      <w:r>
        <w:rPr>
          <w:rFonts w:cs="Arial"/>
          <w:color w:val="000000"/>
        </w:rPr>
        <w:t>)</w:t>
      </w:r>
      <w:r w:rsidRPr="00371D69">
        <w:rPr>
          <w:rFonts w:cs="Arial"/>
          <w:color w:val="000000"/>
        </w:rPr>
        <w:t xml:space="preserve"> aims for each measure to achieve within the next six-to-12-month timeframe (or other). </w:t>
      </w:r>
    </w:p>
    <w:p w14:paraId="108C88B6" w14:textId="77777777" w:rsidR="000236C0" w:rsidRPr="00371D69" w:rsidRDefault="000236C0" w:rsidP="000236C0">
      <w:pPr>
        <w:rPr>
          <w:rFonts w:cs="Arial"/>
          <w:color w:val="000000"/>
        </w:rPr>
      </w:pPr>
    </w:p>
    <w:p w14:paraId="7A657944" w14:textId="77777777" w:rsidR="000236C0" w:rsidRPr="00371D69" w:rsidRDefault="000236C0" w:rsidP="000236C0">
      <w:pPr>
        <w:rPr>
          <w:rFonts w:cs="Arial"/>
          <w:color w:val="000000"/>
        </w:rPr>
      </w:pPr>
      <w:proofErr w:type="gramStart"/>
      <w:r w:rsidRPr="00371D69">
        <w:rPr>
          <w:rFonts w:cs="Arial"/>
          <w:b/>
          <w:bCs/>
          <w:color w:val="000000"/>
        </w:rPr>
        <w:t>Tests of Change</w:t>
      </w:r>
      <w:proofErr w:type="gramEnd"/>
    </w:p>
    <w:p w14:paraId="21EA2D07" w14:textId="77777777" w:rsidR="000236C0" w:rsidRPr="00371D69" w:rsidRDefault="000236C0" w:rsidP="000236C0">
      <w:pPr>
        <w:rPr>
          <w:rFonts w:cs="Arial"/>
          <w:color w:val="000000"/>
        </w:rPr>
      </w:pPr>
      <w:r w:rsidRPr="00371D69">
        <w:rPr>
          <w:rFonts w:cs="Arial"/>
          <w:color w:val="000000"/>
        </w:rPr>
        <w:t>List current or potential tests of change for each aim statement.</w:t>
      </w:r>
    </w:p>
    <w:p w14:paraId="2FCE1AAB" w14:textId="77777777" w:rsidR="000236C0" w:rsidRPr="00371D69" w:rsidRDefault="000236C0" w:rsidP="000236C0">
      <w:pPr>
        <w:rPr>
          <w:rFonts w:cs="Arial"/>
          <w:color w:val="000000"/>
        </w:rPr>
      </w:pPr>
    </w:p>
    <w:p w14:paraId="10E1E3A5" w14:textId="77777777" w:rsidR="000236C0" w:rsidRPr="00371D69" w:rsidRDefault="000236C0" w:rsidP="000236C0">
      <w:pPr>
        <w:rPr>
          <w:rFonts w:cs="Arial"/>
          <w:color w:val="000000"/>
        </w:rPr>
      </w:pPr>
      <w:r w:rsidRPr="00371D69">
        <w:rPr>
          <w:rFonts w:cs="Arial"/>
          <w:b/>
          <w:bCs/>
          <w:color w:val="000000"/>
        </w:rPr>
        <w:t xml:space="preserve">Method of Displaying and Sharing </w:t>
      </w:r>
      <w:proofErr w:type="gramStart"/>
      <w:r w:rsidRPr="00371D69">
        <w:rPr>
          <w:rFonts w:cs="Arial"/>
          <w:b/>
          <w:bCs/>
          <w:color w:val="000000"/>
        </w:rPr>
        <w:t>the Data</w:t>
      </w:r>
      <w:proofErr w:type="gramEnd"/>
    </w:p>
    <w:p w14:paraId="533681E7" w14:textId="41783D31" w:rsidR="003F36EE" w:rsidRPr="00C76AAE" w:rsidRDefault="000236C0" w:rsidP="000236C0">
      <w:r>
        <w:rPr>
          <w:rFonts w:cs="Arial"/>
          <w:color w:val="000000"/>
        </w:rPr>
        <w:t xml:space="preserve">We run </w:t>
      </w:r>
      <w:r w:rsidRPr="00371D69">
        <w:rPr>
          <w:rFonts w:cs="Arial"/>
          <w:color w:val="000000"/>
        </w:rPr>
        <w:t xml:space="preserve">measures data </w:t>
      </w:r>
      <w:r w:rsidR="00980139" w:rsidRPr="00371D69">
        <w:rPr>
          <w:rFonts w:cs="Arial"/>
          <w:color w:val="000000"/>
        </w:rPr>
        <w:t>monthly</w:t>
      </w:r>
      <w:r>
        <w:rPr>
          <w:rFonts w:cs="Arial"/>
          <w:color w:val="000000"/>
        </w:rPr>
        <w:t xml:space="preserve"> and review it during QI team meetings. [Insert process for sharing the data transparently with staff and the QI team; consider also sharing the data with patients (e.g., in the waiting room)].</w:t>
      </w:r>
    </w:p>
    <w:p w14:paraId="061EF8E9" w14:textId="77777777" w:rsidR="00312343" w:rsidRPr="00312343" w:rsidRDefault="00312343" w:rsidP="00312343">
      <w:pPr>
        <w:spacing w:line="276" w:lineRule="auto"/>
        <w:rPr>
          <w:highlight w:val="white"/>
        </w:rPr>
      </w:pPr>
    </w:p>
    <w:sectPr w:rsidR="00312343" w:rsidRPr="00312343" w:rsidSect="00DE4298">
      <w:headerReference w:type="default" r:id="rId23"/>
      <w:footerReference w:type="default" r:id="rId24"/>
      <w:headerReference w:type="first" r:id="rId25"/>
      <w:pgSz w:w="12240" w:h="15840"/>
      <w:pgMar w:top="1440" w:right="1008" w:bottom="1440" w:left="1008"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317E" w14:textId="77777777" w:rsidR="009C1DDE" w:rsidRDefault="009C1DDE" w:rsidP="003A7EDC">
      <w:r>
        <w:separator/>
      </w:r>
    </w:p>
  </w:endnote>
  <w:endnote w:type="continuationSeparator" w:id="0">
    <w:p w14:paraId="61C7FED7" w14:textId="77777777" w:rsidR="009C1DDE" w:rsidRDefault="009C1DDE" w:rsidP="003A7EDC">
      <w:r>
        <w:continuationSeparator/>
      </w:r>
    </w:p>
  </w:endnote>
  <w:endnote w:type="continuationNotice" w:id="1">
    <w:p w14:paraId="4B5EC64F" w14:textId="77777777" w:rsidR="00CE34C1" w:rsidRDefault="00CE3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ssistant">
    <w:charset w:val="B1"/>
    <w:family w:val="auto"/>
    <w:pitch w:val="variable"/>
    <w:sig w:usb0="A00008FF" w:usb1="4000204B" w:usb2="00000000" w:usb3="00000000" w:csb0="00000021"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CF76" w14:textId="4711A45C" w:rsidR="00670A96" w:rsidRPr="000713FF" w:rsidRDefault="00EC1D73" w:rsidP="00507C24">
    <w:pPr>
      <w:pStyle w:val="Footer"/>
      <w:jc w:val="right"/>
      <w:rPr>
        <w:rFonts w:cs="Arial"/>
        <w:sz w:val="16"/>
        <w:szCs w:val="16"/>
      </w:rPr>
    </w:pPr>
    <w:sdt>
      <w:sdtPr>
        <w:rPr>
          <w:rFonts w:cs="Arial"/>
        </w:rPr>
        <w:id w:val="-381485769"/>
        <w:docPartObj>
          <w:docPartGallery w:val="Page Numbers (Bottom of Page)"/>
          <w:docPartUnique/>
        </w:docPartObj>
      </w:sdtPr>
      <w:sdtEndPr>
        <w:rPr>
          <w:noProof/>
          <w:sz w:val="16"/>
          <w:szCs w:val="16"/>
        </w:rPr>
      </w:sdtEndPr>
      <w:sdtContent>
        <w:r w:rsidR="00670A96" w:rsidRPr="000713FF">
          <w:rPr>
            <w:rFonts w:cs="Arial"/>
            <w:sz w:val="16"/>
            <w:szCs w:val="16"/>
          </w:rPr>
          <w:t xml:space="preserve">Page </w:t>
        </w:r>
        <w:r w:rsidR="00670A96" w:rsidRPr="000713FF">
          <w:rPr>
            <w:rFonts w:cs="Arial"/>
            <w:sz w:val="16"/>
            <w:szCs w:val="16"/>
          </w:rPr>
          <w:fldChar w:fldCharType="begin"/>
        </w:r>
        <w:r w:rsidR="00670A96" w:rsidRPr="000713FF">
          <w:rPr>
            <w:rFonts w:cs="Arial"/>
            <w:sz w:val="16"/>
            <w:szCs w:val="16"/>
          </w:rPr>
          <w:instrText xml:space="preserve"> PAGE   \* MERGEFORMAT </w:instrText>
        </w:r>
        <w:r w:rsidR="00670A96" w:rsidRPr="000713FF">
          <w:rPr>
            <w:rFonts w:cs="Arial"/>
            <w:sz w:val="16"/>
            <w:szCs w:val="16"/>
          </w:rPr>
          <w:fldChar w:fldCharType="separate"/>
        </w:r>
        <w:r w:rsidR="00670A96" w:rsidRPr="000713FF">
          <w:rPr>
            <w:rFonts w:cs="Arial"/>
            <w:noProof/>
            <w:sz w:val="16"/>
            <w:szCs w:val="16"/>
          </w:rPr>
          <w:t>2</w:t>
        </w:r>
        <w:r w:rsidR="00670A96" w:rsidRPr="000713FF">
          <w:rPr>
            <w:rFonts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5AA70" w14:textId="77777777" w:rsidR="009C1DDE" w:rsidRDefault="009C1DDE" w:rsidP="003A7EDC">
      <w:r>
        <w:separator/>
      </w:r>
    </w:p>
  </w:footnote>
  <w:footnote w:type="continuationSeparator" w:id="0">
    <w:p w14:paraId="3039A96C" w14:textId="77777777" w:rsidR="009C1DDE" w:rsidRDefault="009C1DDE" w:rsidP="003A7EDC">
      <w:r>
        <w:continuationSeparator/>
      </w:r>
    </w:p>
  </w:footnote>
  <w:footnote w:type="continuationNotice" w:id="1">
    <w:p w14:paraId="6F99A34F" w14:textId="77777777" w:rsidR="00CE34C1" w:rsidRDefault="00CE34C1"/>
  </w:footnote>
  <w:footnote w:id="2">
    <w:p w14:paraId="3B1E4225" w14:textId="295F295D" w:rsidR="008816C0" w:rsidRPr="008F157C" w:rsidRDefault="008816C0" w:rsidP="008816C0">
      <w:pPr>
        <w:pStyle w:val="FootnoteText"/>
        <w:spacing w:line="240" w:lineRule="auto"/>
        <w:rPr>
          <w:sz w:val="16"/>
          <w:szCs w:val="16"/>
        </w:rPr>
      </w:pPr>
      <w:r w:rsidRPr="008F157C">
        <w:rPr>
          <w:rStyle w:val="FootnoteReference"/>
          <w:sz w:val="16"/>
          <w:szCs w:val="16"/>
        </w:rPr>
        <w:footnoteRef/>
      </w:r>
      <w:r w:rsidRPr="008F157C">
        <w:rPr>
          <w:sz w:val="16"/>
          <w:szCs w:val="16"/>
        </w:rPr>
        <w:t xml:space="preserve"> </w:t>
      </w:r>
      <w:proofErr w:type="spellStart"/>
      <w:r w:rsidRPr="008F157C">
        <w:rPr>
          <w:sz w:val="16"/>
          <w:szCs w:val="16"/>
        </w:rPr>
        <w:t>Nundy</w:t>
      </w:r>
      <w:proofErr w:type="spellEnd"/>
      <w:r w:rsidRPr="008F157C">
        <w:rPr>
          <w:sz w:val="16"/>
          <w:szCs w:val="16"/>
        </w:rPr>
        <w:t xml:space="preserve"> S, Cooper LA, Mate KS. </w:t>
      </w:r>
      <w:hyperlink r:id="rId1" w:history="1">
        <w:r w:rsidRPr="008F157C">
          <w:rPr>
            <w:rStyle w:val="Hyperlink"/>
            <w:rFonts w:ascii="Arial" w:hAnsi="Arial"/>
            <w:sz w:val="16"/>
            <w:szCs w:val="16"/>
          </w:rPr>
          <w:t>The Quintuple Aim for Health Care Improvement: A New Imperative to Advance Health Equity</w:t>
        </w:r>
      </w:hyperlink>
      <w:r w:rsidRPr="008F157C">
        <w:rPr>
          <w:sz w:val="16"/>
          <w:szCs w:val="16"/>
        </w:rPr>
        <w:t>. JAMA. 2022;327(6):521–522.</w:t>
      </w:r>
    </w:p>
  </w:footnote>
  <w:footnote w:id="3">
    <w:p w14:paraId="5C8DA507" w14:textId="094F4A4F" w:rsidR="008816C0" w:rsidRPr="008F157C" w:rsidRDefault="008816C0" w:rsidP="008816C0">
      <w:pPr>
        <w:pStyle w:val="FootnoteText"/>
        <w:spacing w:line="240" w:lineRule="auto"/>
        <w:rPr>
          <w:sz w:val="16"/>
          <w:szCs w:val="16"/>
        </w:rPr>
      </w:pPr>
      <w:r w:rsidRPr="008F157C">
        <w:rPr>
          <w:rStyle w:val="FootnoteReference"/>
          <w:sz w:val="16"/>
          <w:szCs w:val="16"/>
        </w:rPr>
        <w:footnoteRef/>
      </w:r>
      <w:r w:rsidRPr="008F157C">
        <w:rPr>
          <w:sz w:val="16"/>
          <w:szCs w:val="16"/>
        </w:rPr>
        <w:t xml:space="preserve"> Bodenheimer T, Sinsky C. </w:t>
      </w:r>
      <w:hyperlink r:id="rId2" w:history="1">
        <w:r w:rsidRPr="008F157C">
          <w:rPr>
            <w:rStyle w:val="Hyperlink"/>
            <w:rFonts w:ascii="Arial" w:hAnsi="Arial"/>
            <w:sz w:val="16"/>
            <w:szCs w:val="16"/>
          </w:rPr>
          <w:t>From Triple to Quadruple Aim: Care of the Patient Requires Care of the Provider</w:t>
        </w:r>
      </w:hyperlink>
      <w:r w:rsidRPr="008F157C">
        <w:rPr>
          <w:sz w:val="16"/>
          <w:szCs w:val="16"/>
        </w:rPr>
        <w:t>. Ann Fam Med. 2014;12(6): 573-6.</w:t>
      </w:r>
    </w:p>
  </w:footnote>
  <w:footnote w:id="4">
    <w:p w14:paraId="00F89A49" w14:textId="45F35CBD" w:rsidR="00312343" w:rsidRPr="008F157C" w:rsidRDefault="00312343" w:rsidP="00AE083A">
      <w:pPr>
        <w:rPr>
          <w:sz w:val="16"/>
          <w:szCs w:val="16"/>
        </w:rPr>
      </w:pPr>
      <w:r w:rsidRPr="008F157C">
        <w:rPr>
          <w:rStyle w:val="FootnoteReference"/>
          <w:sz w:val="16"/>
          <w:szCs w:val="16"/>
        </w:rPr>
        <w:footnoteRef/>
      </w:r>
      <w:r w:rsidRPr="008F157C">
        <w:rPr>
          <w:sz w:val="16"/>
          <w:szCs w:val="16"/>
        </w:rPr>
        <w:t xml:space="preserve"> </w:t>
      </w:r>
      <w:hyperlink r:id="rId3" w:history="1">
        <w:r w:rsidRPr="008F157C">
          <w:rPr>
            <w:rStyle w:val="Hyperlink"/>
            <w:rFonts w:ascii="Arial" w:hAnsi="Arial"/>
            <w:sz w:val="16"/>
            <w:szCs w:val="16"/>
          </w:rPr>
          <w:t>Overcoming Therapeutic Inertia</w:t>
        </w:r>
      </w:hyperlink>
      <w:r w:rsidRPr="008F157C">
        <w:rPr>
          <w:sz w:val="16"/>
          <w:szCs w:val="16"/>
        </w:rPr>
        <w:t>. ADA. Therapeutic inertia as defined by the ADA is the “lack of timely adjustment to therapy when a patient’s treatment goals are not met”.</w:t>
      </w:r>
    </w:p>
  </w:footnote>
  <w:footnote w:id="5">
    <w:p w14:paraId="655175FD" w14:textId="59C55EDB" w:rsidR="000236C0" w:rsidRPr="00024C70" w:rsidRDefault="000236C0" w:rsidP="000236C0">
      <w:pPr>
        <w:pStyle w:val="FootnoteText"/>
        <w:rPr>
          <w:rFonts w:cs="Arial"/>
          <w:sz w:val="16"/>
          <w:szCs w:val="16"/>
        </w:rPr>
      </w:pPr>
      <w:r w:rsidRPr="00024C70">
        <w:rPr>
          <w:rStyle w:val="FootnoteReference"/>
          <w:rFonts w:cs="Arial"/>
          <w:sz w:val="16"/>
          <w:szCs w:val="16"/>
        </w:rPr>
        <w:footnoteRef/>
      </w:r>
      <w:r w:rsidRPr="00024C70">
        <w:rPr>
          <w:rFonts w:cs="Arial"/>
          <w:sz w:val="16"/>
          <w:szCs w:val="16"/>
        </w:rPr>
        <w:t xml:space="preserve"> </w:t>
      </w:r>
      <w:hyperlink r:id="rId4" w:history="1">
        <w:r w:rsidRPr="00024C70">
          <w:rPr>
            <w:rStyle w:val="Hyperlink"/>
            <w:rFonts w:ascii="Arial" w:hAnsi="Arial" w:cs="Arial"/>
            <w:sz w:val="16"/>
            <w:szCs w:val="16"/>
            <w:shd w:val="clear" w:color="auto" w:fill="FFFFFF"/>
          </w:rPr>
          <w:t>Successful Change Management Strategies for Improving Diabetes Care Delivery Among High-Performing Practices</w:t>
        </w:r>
      </w:hyperlink>
      <w:r w:rsidRPr="00024C70">
        <w:rPr>
          <w:rFonts w:cs="Arial"/>
          <w:color w:val="212121"/>
          <w:sz w:val="16"/>
          <w:szCs w:val="16"/>
          <w:shd w:val="clear" w:color="auto" w:fill="FFFFFF"/>
        </w:rPr>
        <w:t>. Ann Fam Med.</w:t>
      </w:r>
      <w:r w:rsidR="00024C70">
        <w:rPr>
          <w:rFonts w:cs="Arial"/>
          <w:color w:val="212121"/>
          <w:sz w:val="16"/>
          <w:szCs w:val="16"/>
          <w:shd w:val="clear" w:color="auto" w:fill="FFFFFF"/>
        </w:rPr>
        <w:t xml:space="preserve"> </w:t>
      </w:r>
      <w:r w:rsidRPr="00024C70">
        <w:rPr>
          <w:rFonts w:cs="Arial"/>
          <w:color w:val="212121"/>
          <w:sz w:val="16"/>
          <w:szCs w:val="16"/>
          <w:shd w:val="clear" w:color="auto" w:fill="FFFFFF"/>
        </w:rPr>
        <w:t>2023</w:t>
      </w:r>
      <w:r w:rsidR="00024C70">
        <w:rPr>
          <w:rFonts w:cs="Arial"/>
          <w:color w:val="212121"/>
          <w:sz w:val="16"/>
          <w:szCs w:val="16"/>
          <w:shd w:val="clear" w:color="auto" w:fill="FFFFFF"/>
        </w:rPr>
        <w:t>.</w:t>
      </w:r>
    </w:p>
  </w:footnote>
  <w:footnote w:id="6">
    <w:p w14:paraId="054358FD" w14:textId="77777777" w:rsidR="000236C0" w:rsidRPr="00024C70" w:rsidRDefault="000236C0" w:rsidP="000236C0">
      <w:pPr>
        <w:pStyle w:val="FootnoteText"/>
        <w:rPr>
          <w:sz w:val="16"/>
          <w:szCs w:val="16"/>
        </w:rPr>
      </w:pPr>
      <w:r w:rsidRPr="00024C70">
        <w:rPr>
          <w:rStyle w:val="FootnoteReference"/>
          <w:sz w:val="16"/>
          <w:szCs w:val="16"/>
        </w:rPr>
        <w:footnoteRef/>
      </w:r>
      <w:r w:rsidRPr="00024C70">
        <w:rPr>
          <w:sz w:val="16"/>
          <w:szCs w:val="16"/>
        </w:rPr>
        <w:t xml:space="preserve"> </w:t>
      </w:r>
      <w:hyperlink r:id="rId5" w:history="1">
        <w:r w:rsidRPr="00024C70">
          <w:rPr>
            <w:rStyle w:val="Hyperlink"/>
            <w:rFonts w:ascii="Arial" w:hAnsi="Arial"/>
            <w:sz w:val="16"/>
            <w:szCs w:val="16"/>
          </w:rPr>
          <w:t>Street Medicine Provider: Definitions and Participation in Managed Care</w:t>
        </w:r>
      </w:hyperlink>
      <w:r w:rsidRPr="00024C70">
        <w:rPr>
          <w:sz w:val="16"/>
          <w:szCs w:val="16"/>
        </w:rPr>
        <w:t>. DHCS. 2022.</w:t>
      </w:r>
    </w:p>
  </w:footnote>
  <w:footnote w:id="7">
    <w:p w14:paraId="526AEB80" w14:textId="0F4155BF" w:rsidR="008816C0" w:rsidRPr="008F157C" w:rsidRDefault="008816C0" w:rsidP="008816C0">
      <w:pPr>
        <w:rPr>
          <w:sz w:val="16"/>
          <w:szCs w:val="16"/>
        </w:rPr>
      </w:pPr>
      <w:r w:rsidRPr="008F157C">
        <w:rPr>
          <w:rStyle w:val="FootnoteReference"/>
          <w:sz w:val="16"/>
          <w:szCs w:val="16"/>
        </w:rPr>
        <w:footnoteRef/>
      </w:r>
      <w:r w:rsidRPr="008F157C">
        <w:rPr>
          <w:sz w:val="16"/>
          <w:szCs w:val="16"/>
        </w:rPr>
        <w:t xml:space="preserve"> </w:t>
      </w:r>
      <w:hyperlink r:id="rId6" w:history="1">
        <w:r w:rsidRPr="008F157C">
          <w:rPr>
            <w:rStyle w:val="Hyperlink"/>
            <w:rFonts w:ascii="Arial" w:hAnsi="Arial"/>
            <w:sz w:val="16"/>
            <w:szCs w:val="16"/>
          </w:rPr>
          <w:t>Section 10: Cardiovascular Disease and Risk Management</w:t>
        </w:r>
      </w:hyperlink>
      <w:r w:rsidRPr="008F157C">
        <w:rPr>
          <w:sz w:val="16"/>
          <w:szCs w:val="16"/>
        </w:rPr>
        <w:t>. ADA Abridged Standards of Care 2024.</w:t>
      </w:r>
    </w:p>
  </w:footnote>
  <w:footnote w:id="8">
    <w:p w14:paraId="31541B65" w14:textId="664B2472" w:rsidR="008816C0" w:rsidRPr="008F157C" w:rsidRDefault="008816C0" w:rsidP="008816C0">
      <w:pPr>
        <w:rPr>
          <w:sz w:val="16"/>
          <w:szCs w:val="16"/>
        </w:rPr>
      </w:pPr>
      <w:r w:rsidRPr="008F157C">
        <w:rPr>
          <w:rStyle w:val="FootnoteReference"/>
          <w:rFonts w:cs="Arial"/>
          <w:color w:val="000000" w:themeColor="text1"/>
          <w:sz w:val="16"/>
          <w:szCs w:val="16"/>
        </w:rPr>
        <w:footnoteRef/>
      </w:r>
      <w:r w:rsidRPr="008F157C">
        <w:rPr>
          <w:sz w:val="16"/>
          <w:szCs w:val="16"/>
        </w:rPr>
        <w:t xml:space="preserve"> </w:t>
      </w:r>
      <w:hyperlink r:id="rId7" w:history="1">
        <w:r w:rsidR="00AE083A" w:rsidRPr="008F157C">
          <w:rPr>
            <w:rStyle w:val="Hyperlink"/>
            <w:rFonts w:ascii="Arial" w:hAnsi="Arial"/>
            <w:sz w:val="16"/>
            <w:szCs w:val="16"/>
          </w:rPr>
          <w:t>Section 10: Cardiovascular Disease and Risk Management</w:t>
        </w:r>
      </w:hyperlink>
      <w:r w:rsidRPr="008F157C">
        <w:rPr>
          <w:sz w:val="16"/>
          <w:szCs w:val="16"/>
        </w:rPr>
        <w:t>. ADA Abridged Standards of Care 2024.</w:t>
      </w:r>
    </w:p>
  </w:footnote>
  <w:footnote w:id="9">
    <w:p w14:paraId="594F66FC" w14:textId="17509F53" w:rsidR="00D331EC" w:rsidRPr="008F157C" w:rsidRDefault="00D331EC" w:rsidP="00D331EC">
      <w:pPr>
        <w:rPr>
          <w:rFonts w:cs="Arial"/>
          <w:sz w:val="16"/>
          <w:szCs w:val="16"/>
        </w:rPr>
      </w:pPr>
      <w:r w:rsidRPr="008F157C">
        <w:rPr>
          <w:rStyle w:val="FootnoteReference"/>
          <w:rFonts w:cs="Arial"/>
          <w:sz w:val="16"/>
          <w:szCs w:val="16"/>
        </w:rPr>
        <w:footnoteRef/>
      </w:r>
      <w:r w:rsidRPr="008F157C">
        <w:rPr>
          <w:rFonts w:cs="Arial"/>
          <w:sz w:val="16"/>
          <w:szCs w:val="16"/>
        </w:rPr>
        <w:t xml:space="preserve"> </w:t>
      </w:r>
      <w:hyperlink r:id="rId8" w:history="1">
        <w:r w:rsidRPr="008F157C">
          <w:rPr>
            <w:rStyle w:val="Hyperlink"/>
            <w:rFonts w:ascii="Arial" w:eastAsiaTheme="majorEastAsia" w:hAnsi="Arial" w:cs="Arial"/>
            <w:sz w:val="16"/>
            <w:szCs w:val="16"/>
            <w:bdr w:val="none" w:sz="0" w:space="0" w:color="auto" w:frame="1"/>
            <w:shd w:val="clear" w:color="auto" w:fill="FFFFFF"/>
          </w:rPr>
          <w:t>Older Adults: Standards of Care in Diabetes - 2024</w:t>
        </w:r>
      </w:hyperlink>
    </w:p>
  </w:footnote>
  <w:footnote w:id="10">
    <w:p w14:paraId="5FB916B7" w14:textId="77777777" w:rsidR="008F157C" w:rsidRPr="008F157C" w:rsidRDefault="008F157C" w:rsidP="008F157C">
      <w:pPr>
        <w:pStyle w:val="FootnoteText"/>
        <w:rPr>
          <w:sz w:val="16"/>
          <w:szCs w:val="16"/>
        </w:rPr>
      </w:pPr>
      <w:r w:rsidRPr="008F157C">
        <w:rPr>
          <w:rStyle w:val="FootnoteReference"/>
          <w:sz w:val="16"/>
          <w:szCs w:val="16"/>
        </w:rPr>
        <w:footnoteRef/>
      </w:r>
      <w:r w:rsidRPr="008F157C">
        <w:rPr>
          <w:sz w:val="16"/>
          <w:szCs w:val="16"/>
        </w:rPr>
        <w:t xml:space="preserve"> </w:t>
      </w:r>
      <w:hyperlink r:id="rId9" w:history="1">
        <w:r w:rsidRPr="008F157C">
          <w:rPr>
            <w:rStyle w:val="Hyperlink"/>
            <w:rFonts w:ascii="Arial" w:hAnsi="Arial"/>
            <w:sz w:val="16"/>
            <w:szCs w:val="16"/>
          </w:rPr>
          <w:t>NAFLD Prevalence, Who to Screen and How</w:t>
        </w:r>
      </w:hyperlink>
      <w:r w:rsidRPr="008F157C">
        <w:rPr>
          <w:sz w:val="16"/>
          <w:szCs w:val="16"/>
        </w:rPr>
        <w:t xml:space="preserve"> graphics. ADA Abridged Standards of Care 2024.</w:t>
      </w:r>
    </w:p>
  </w:footnote>
  <w:footnote w:id="11">
    <w:p w14:paraId="5AA9546E" w14:textId="77777777" w:rsidR="008F157C" w:rsidRPr="008F157C" w:rsidRDefault="008F157C" w:rsidP="008F157C">
      <w:pPr>
        <w:rPr>
          <w:i/>
          <w:iCs/>
          <w:sz w:val="16"/>
          <w:szCs w:val="16"/>
        </w:rPr>
      </w:pPr>
      <w:r w:rsidRPr="008F157C">
        <w:rPr>
          <w:rStyle w:val="FootnoteReference"/>
          <w:rFonts w:cs="Arial"/>
          <w:i/>
          <w:iCs/>
          <w:sz w:val="16"/>
          <w:szCs w:val="16"/>
        </w:rPr>
        <w:footnoteRef/>
      </w:r>
      <w:r w:rsidRPr="008F157C">
        <w:rPr>
          <w:i/>
          <w:iCs/>
          <w:sz w:val="16"/>
          <w:szCs w:val="16"/>
        </w:rPr>
        <w:t xml:space="preserve"> </w:t>
      </w:r>
      <w:r w:rsidRPr="008F157C">
        <w:rPr>
          <w:sz w:val="16"/>
          <w:szCs w:val="16"/>
        </w:rPr>
        <w:t xml:space="preserve">Nonalcoholic Fatty Liver Disease and Nonalcoholic Steatohepatitis. </w:t>
      </w:r>
      <w:hyperlink r:id="rId10" w:history="1">
        <w:r w:rsidRPr="008F157C">
          <w:rPr>
            <w:rStyle w:val="Hyperlink"/>
            <w:rFonts w:ascii="Arial" w:hAnsi="Arial"/>
            <w:sz w:val="16"/>
            <w:szCs w:val="16"/>
          </w:rPr>
          <w:t>Comprehensive Medical Evaluation and Assessment of Comorbidities:</w:t>
        </w:r>
        <w:r w:rsidRPr="008F157C">
          <w:rPr>
            <w:rStyle w:val="Hyperlink"/>
            <w:rFonts w:ascii="Arial" w:hAnsi="Arial"/>
            <w:i/>
            <w:iCs/>
            <w:sz w:val="16"/>
            <w:szCs w:val="16"/>
          </w:rPr>
          <w:t> </w:t>
        </w:r>
        <w:r w:rsidRPr="008F157C">
          <w:rPr>
            <w:rStyle w:val="Hyperlink"/>
            <w:rFonts w:ascii="Arial" w:hAnsi="Arial" w:cs="Arial"/>
            <w:sz w:val="16"/>
            <w:szCs w:val="16"/>
            <w:bdr w:val="none" w:sz="0" w:space="0" w:color="auto" w:frame="1"/>
          </w:rPr>
          <w:t>Standards of Care in Diabetes-2024</w:t>
        </w:r>
      </w:hyperlink>
      <w:r w:rsidRPr="008F157C">
        <w:rPr>
          <w:rStyle w:val="Emphasis"/>
          <w:rFonts w:cs="Arial"/>
          <w:i w:val="0"/>
          <w:iCs w:val="0"/>
          <w:color w:val="383636"/>
          <w:sz w:val="16"/>
          <w:szCs w:val="16"/>
          <w:bdr w:val="none" w:sz="0" w:space="0" w:color="auto" w:frame="1"/>
        </w:rPr>
        <w:t>. ADA.</w:t>
      </w:r>
    </w:p>
  </w:footnote>
  <w:footnote w:id="12">
    <w:p w14:paraId="29C34074" w14:textId="358CDA2C" w:rsidR="003F36EE" w:rsidRPr="008F157C" w:rsidRDefault="003F36EE" w:rsidP="003F36EE">
      <w:pPr>
        <w:rPr>
          <w:sz w:val="16"/>
          <w:szCs w:val="16"/>
        </w:rPr>
      </w:pPr>
      <w:r w:rsidRPr="008F157C">
        <w:rPr>
          <w:rStyle w:val="FootnoteReference"/>
          <w:sz w:val="16"/>
          <w:szCs w:val="16"/>
        </w:rPr>
        <w:footnoteRef/>
      </w:r>
      <w:r w:rsidRPr="008F157C">
        <w:rPr>
          <w:sz w:val="16"/>
          <w:szCs w:val="16"/>
        </w:rPr>
        <w:t xml:space="preserve"> </w:t>
      </w:r>
      <w:hyperlink r:id="rId11" w:history="1">
        <w:r w:rsidRPr="008F157C">
          <w:rPr>
            <w:rStyle w:val="Hyperlink"/>
            <w:rFonts w:ascii="Arial" w:hAnsi="Arial"/>
            <w:sz w:val="16"/>
            <w:szCs w:val="16"/>
          </w:rPr>
          <w:t>Section 5: Facilitating Positive Health Behaviors and Well-Being to Improve Health Outcomes</w:t>
        </w:r>
      </w:hyperlink>
      <w:r w:rsidRPr="008F157C">
        <w:rPr>
          <w:sz w:val="16"/>
          <w:szCs w:val="16"/>
        </w:rPr>
        <w:t>. ADA Abridged Standards of Care 2024.</w:t>
      </w:r>
    </w:p>
  </w:footnote>
  <w:footnote w:id="13">
    <w:p w14:paraId="70BB2B9C" w14:textId="77777777" w:rsidR="00024C70" w:rsidRPr="00A859AB" w:rsidRDefault="00024C70" w:rsidP="00024C70">
      <w:pPr>
        <w:pStyle w:val="FootnoteText"/>
        <w:rPr>
          <w:rFonts w:cs="Arial"/>
          <w:sz w:val="16"/>
          <w:szCs w:val="16"/>
        </w:rPr>
      </w:pPr>
      <w:r w:rsidRPr="00A859AB">
        <w:rPr>
          <w:rStyle w:val="FootnoteReference"/>
          <w:rFonts w:cs="Arial"/>
          <w:sz w:val="16"/>
          <w:szCs w:val="16"/>
        </w:rPr>
        <w:footnoteRef/>
      </w:r>
      <w:r w:rsidRPr="00A859AB">
        <w:rPr>
          <w:rFonts w:cs="Arial"/>
          <w:sz w:val="16"/>
          <w:szCs w:val="16"/>
        </w:rPr>
        <w:t xml:space="preserve"> </w:t>
      </w:r>
      <w:r w:rsidRPr="00A859AB">
        <w:rPr>
          <w:rFonts w:cs="Arial"/>
          <w:color w:val="333333"/>
          <w:sz w:val="16"/>
          <w:szCs w:val="16"/>
          <w:shd w:val="clear" w:color="auto" w:fill="FFFFFF"/>
        </w:rPr>
        <w:t>Herkert D</w:t>
      </w:r>
      <w:r w:rsidRPr="00A859AB">
        <w:rPr>
          <w:rStyle w:val="al-author-delim"/>
          <w:rFonts w:cs="Arial"/>
          <w:color w:val="333333"/>
          <w:sz w:val="16"/>
          <w:szCs w:val="16"/>
          <w:shd w:val="clear" w:color="auto" w:fill="FFFFFF"/>
        </w:rPr>
        <w:t>, </w:t>
      </w:r>
      <w:r w:rsidRPr="00A859AB">
        <w:rPr>
          <w:rFonts w:cs="Arial"/>
          <w:color w:val="333333"/>
          <w:sz w:val="16"/>
          <w:szCs w:val="16"/>
          <w:shd w:val="clear" w:color="auto" w:fill="FFFFFF"/>
        </w:rPr>
        <w:t>Vijayakumar P</w:t>
      </w:r>
      <w:r w:rsidRPr="00A859AB">
        <w:rPr>
          <w:rStyle w:val="al-author-delim"/>
          <w:rFonts w:cs="Arial"/>
          <w:color w:val="333333"/>
          <w:sz w:val="16"/>
          <w:szCs w:val="16"/>
          <w:shd w:val="clear" w:color="auto" w:fill="FFFFFF"/>
        </w:rPr>
        <w:t>, </w:t>
      </w:r>
      <w:r w:rsidRPr="00A859AB">
        <w:rPr>
          <w:rFonts w:cs="Arial"/>
          <w:color w:val="333333"/>
          <w:sz w:val="16"/>
          <w:szCs w:val="16"/>
          <w:shd w:val="clear" w:color="auto" w:fill="FFFFFF"/>
        </w:rPr>
        <w:t xml:space="preserve">Luo J, et al. </w:t>
      </w:r>
      <w:hyperlink r:id="rId12" w:history="1">
        <w:r w:rsidRPr="00A859AB">
          <w:rPr>
            <w:rStyle w:val="Hyperlink"/>
            <w:rFonts w:ascii="Arial" w:hAnsi="Arial" w:cs="Arial"/>
            <w:sz w:val="16"/>
            <w:szCs w:val="16"/>
            <w:shd w:val="clear" w:color="auto" w:fill="FFFFFF"/>
          </w:rPr>
          <w:t>Cost-Related Insulin Underuse Among Patients With Diabetes</w:t>
        </w:r>
      </w:hyperlink>
      <w:r w:rsidRPr="00A859AB">
        <w:rPr>
          <w:rFonts w:cs="Arial"/>
          <w:color w:val="333333"/>
          <w:sz w:val="16"/>
          <w:szCs w:val="16"/>
          <w:shd w:val="clear" w:color="auto" w:fill="FFFFFF"/>
        </w:rPr>
        <w:t>. </w:t>
      </w:r>
      <w:r w:rsidRPr="00A859AB">
        <w:rPr>
          <w:rStyle w:val="Emphasis"/>
          <w:rFonts w:cs="Arial"/>
          <w:color w:val="333333"/>
          <w:sz w:val="16"/>
          <w:szCs w:val="16"/>
          <w:shd w:val="clear" w:color="auto" w:fill="FFFFFF"/>
        </w:rPr>
        <w:t>JAMA Intern Med.</w:t>
      </w:r>
      <w:r w:rsidRPr="00A859AB">
        <w:rPr>
          <w:rFonts w:cs="Arial"/>
          <w:color w:val="333333"/>
          <w:sz w:val="16"/>
          <w:szCs w:val="16"/>
          <w:shd w:val="clear" w:color="auto" w:fill="FFFFFF"/>
        </w:rPr>
        <w:t> 2019;179(1):112–114.</w:t>
      </w:r>
    </w:p>
  </w:footnote>
  <w:footnote w:id="14">
    <w:p w14:paraId="5AABED00" w14:textId="77777777" w:rsidR="000236C0" w:rsidRPr="00371D69" w:rsidRDefault="000236C0" w:rsidP="000236C0">
      <w:pPr>
        <w:pStyle w:val="FootnoteText"/>
        <w:spacing w:line="240" w:lineRule="auto"/>
        <w:rPr>
          <w:rFonts w:cs="Arial"/>
          <w:sz w:val="18"/>
          <w:szCs w:val="18"/>
        </w:rPr>
      </w:pPr>
      <w:r w:rsidRPr="00371D69">
        <w:rPr>
          <w:rStyle w:val="FootnoteReference"/>
          <w:rFonts w:cs="Arial"/>
          <w:sz w:val="18"/>
          <w:szCs w:val="18"/>
        </w:rPr>
        <w:footnoteRef/>
      </w:r>
      <w:r w:rsidRPr="00371D69">
        <w:rPr>
          <w:rFonts w:cs="Arial"/>
          <w:sz w:val="18"/>
          <w:szCs w:val="18"/>
        </w:rPr>
        <w:t xml:space="preserve"> “</w:t>
      </w:r>
      <w:r w:rsidRPr="00371D69">
        <w:rPr>
          <w:rFonts w:cs="Arial"/>
          <w:color w:val="383636"/>
          <w:sz w:val="18"/>
          <w:szCs w:val="18"/>
          <w:shd w:val="clear" w:color="auto" w:fill="FFFFFF"/>
        </w:rPr>
        <w:t>For people with type 2 diabetes and CKD, use of an SGLT2 inhibitor is recommended to reduce CKD progression and cardiovascular events in individuals with eGFR ≥20 mL/min/1.73 m</w:t>
      </w:r>
      <w:r w:rsidRPr="00371D69">
        <w:rPr>
          <w:rFonts w:cs="Arial"/>
          <w:color w:val="383636"/>
          <w:sz w:val="18"/>
          <w:szCs w:val="18"/>
          <w:bdr w:val="none" w:sz="0" w:space="0" w:color="auto" w:frame="1"/>
          <w:shd w:val="clear" w:color="auto" w:fill="FFFFFF"/>
          <w:vertAlign w:val="superscript"/>
        </w:rPr>
        <w:t>2</w:t>
      </w:r>
      <w:r w:rsidRPr="00371D69">
        <w:rPr>
          <w:rFonts w:cs="Arial"/>
          <w:color w:val="383636"/>
          <w:sz w:val="18"/>
          <w:szCs w:val="18"/>
          <w:shd w:val="clear" w:color="auto" w:fill="FFFFFF"/>
        </w:rPr>
        <w:t xml:space="preserve"> and urinary albumin ranging from normal to 200 mg/g creatinine.” </w:t>
      </w:r>
      <w:hyperlink r:id="rId13" w:history="1">
        <w:r w:rsidRPr="00371D69">
          <w:rPr>
            <w:rStyle w:val="Hyperlink"/>
            <w:rFonts w:ascii="Arial" w:hAnsi="Arial" w:cs="Arial"/>
            <w:sz w:val="18"/>
            <w:szCs w:val="18"/>
            <w:shd w:val="clear" w:color="auto" w:fill="FFFFFF"/>
          </w:rPr>
          <w:t>ADA Standards of Care in Diabetes – 2024</w:t>
        </w:r>
      </w:hyperlink>
      <w:r w:rsidRPr="00371D69">
        <w:rPr>
          <w:rFonts w:cs="Arial"/>
          <w:color w:val="383636"/>
          <w:sz w:val="18"/>
          <w:szCs w:val="18"/>
          <w:shd w:val="clear" w:color="auto" w:fill="FFFFFF"/>
        </w:rPr>
        <w:t xml:space="preserve"> (p. S220).</w:t>
      </w:r>
    </w:p>
  </w:footnote>
  <w:footnote w:id="15">
    <w:p w14:paraId="10B00C05" w14:textId="77777777" w:rsidR="000236C0" w:rsidRPr="00371D69" w:rsidRDefault="000236C0" w:rsidP="000236C0">
      <w:pPr>
        <w:pStyle w:val="FootnoteText"/>
        <w:spacing w:line="240" w:lineRule="auto"/>
        <w:rPr>
          <w:rFonts w:cs="Arial"/>
          <w:sz w:val="18"/>
          <w:szCs w:val="18"/>
        </w:rPr>
      </w:pPr>
      <w:r w:rsidRPr="00371D69">
        <w:rPr>
          <w:rStyle w:val="FootnoteReference"/>
          <w:rFonts w:cs="Arial"/>
          <w:sz w:val="18"/>
          <w:szCs w:val="18"/>
        </w:rPr>
        <w:footnoteRef/>
      </w:r>
      <w:r w:rsidRPr="00371D69">
        <w:rPr>
          <w:rFonts w:cs="Arial"/>
          <w:sz w:val="18"/>
          <w:szCs w:val="18"/>
        </w:rPr>
        <w:t xml:space="preserve"> “</w:t>
      </w:r>
      <w:r w:rsidRPr="00371D69">
        <w:rPr>
          <w:rFonts w:cs="Arial"/>
          <w:color w:val="383636"/>
          <w:sz w:val="18"/>
          <w:szCs w:val="18"/>
          <w:shd w:val="clear" w:color="auto" w:fill="FFFFFF"/>
        </w:rPr>
        <w:t>In nonpregnant people with diabetes and hypertension, either an ACE inhibitor or an angiotensin receptor blocker (ARB) is recommended for those with moderately increased albuminuria (UACR 30–299 mg/g creatinine) </w:t>
      </w:r>
      <w:r w:rsidRPr="00371D69">
        <w:rPr>
          <w:rStyle w:val="Strong"/>
          <w:rFonts w:cs="Arial"/>
          <w:color w:val="383636"/>
          <w:sz w:val="18"/>
          <w:szCs w:val="18"/>
          <w:bdr w:val="none" w:sz="0" w:space="0" w:color="auto" w:frame="1"/>
          <w:shd w:val="clear" w:color="auto" w:fill="FFFFFF"/>
        </w:rPr>
        <w:t>B</w:t>
      </w:r>
      <w:r w:rsidRPr="00371D69">
        <w:rPr>
          <w:rFonts w:cs="Arial"/>
          <w:color w:val="383636"/>
          <w:sz w:val="18"/>
          <w:szCs w:val="18"/>
          <w:shd w:val="clear" w:color="auto" w:fill="FFFFFF"/>
        </w:rPr>
        <w:t> and is strongly recommended for those with severely increased albuminuria (UACR ≥300 mg/g creatinine) and/or eGFR &lt;60 mL/min/1.73 m</w:t>
      </w:r>
      <w:r w:rsidRPr="00371D69">
        <w:rPr>
          <w:rFonts w:cs="Arial"/>
          <w:color w:val="383636"/>
          <w:sz w:val="18"/>
          <w:szCs w:val="18"/>
          <w:bdr w:val="none" w:sz="0" w:space="0" w:color="auto" w:frame="1"/>
          <w:shd w:val="clear" w:color="auto" w:fill="FFFFFF"/>
          <w:vertAlign w:val="superscript"/>
        </w:rPr>
        <w:t>2</w:t>
      </w:r>
      <w:r w:rsidRPr="00371D69">
        <w:rPr>
          <w:rFonts w:cs="Arial"/>
          <w:color w:val="383636"/>
          <w:sz w:val="18"/>
          <w:szCs w:val="18"/>
          <w:shd w:val="clear" w:color="auto" w:fill="FFFFFF"/>
        </w:rPr>
        <w:t xml:space="preserve"> to prevent the progression of kidney disease and reduce cardiovascular events.” </w:t>
      </w:r>
      <w:hyperlink r:id="rId14" w:history="1">
        <w:r w:rsidRPr="00371D69">
          <w:rPr>
            <w:rStyle w:val="Hyperlink"/>
            <w:rFonts w:ascii="Arial" w:hAnsi="Arial" w:cs="Arial"/>
            <w:sz w:val="18"/>
            <w:szCs w:val="18"/>
            <w:shd w:val="clear" w:color="auto" w:fill="FFFFFF"/>
          </w:rPr>
          <w:t>ADA Standards of Care in Diabetes – 2024</w:t>
        </w:r>
      </w:hyperlink>
      <w:r w:rsidRPr="00371D69">
        <w:rPr>
          <w:rFonts w:cs="Arial"/>
          <w:color w:val="383636"/>
          <w:sz w:val="18"/>
          <w:szCs w:val="18"/>
          <w:shd w:val="clear" w:color="auto" w:fill="FFFFFF"/>
        </w:rPr>
        <w:t xml:space="preserve"> (p. S219).</w:t>
      </w:r>
    </w:p>
  </w:footnote>
  <w:footnote w:id="16">
    <w:p w14:paraId="4CC9C853" w14:textId="77777777" w:rsidR="000236C0" w:rsidRDefault="000236C0" w:rsidP="000236C0">
      <w:pPr>
        <w:pStyle w:val="FootnoteText"/>
        <w:spacing w:line="240" w:lineRule="auto"/>
      </w:pPr>
      <w:r w:rsidRPr="00371D69">
        <w:rPr>
          <w:rStyle w:val="FootnoteReference"/>
          <w:rFonts w:cs="Arial"/>
          <w:sz w:val="18"/>
          <w:szCs w:val="18"/>
        </w:rPr>
        <w:footnoteRef/>
      </w:r>
      <w:r w:rsidRPr="00371D69">
        <w:rPr>
          <w:rFonts w:cs="Arial"/>
          <w:sz w:val="18"/>
          <w:szCs w:val="18"/>
        </w:rPr>
        <w:t xml:space="preserve"> “</w:t>
      </w:r>
      <w:r w:rsidRPr="00371D69">
        <w:rPr>
          <w:rFonts w:cs="Arial"/>
          <w:color w:val="383636"/>
          <w:sz w:val="18"/>
          <w:szCs w:val="18"/>
          <w:shd w:val="clear" w:color="auto" w:fill="FFFFFF"/>
        </w:rPr>
        <w:t xml:space="preserve">The on-treatment target blood pressure goal is &lt;130/80 mmHg, if it can be safely attained.” </w:t>
      </w:r>
      <w:hyperlink r:id="rId15" w:history="1">
        <w:r w:rsidRPr="00371D69">
          <w:rPr>
            <w:rStyle w:val="Hyperlink"/>
            <w:rFonts w:ascii="Arial" w:hAnsi="Arial" w:cs="Arial"/>
            <w:sz w:val="18"/>
            <w:szCs w:val="18"/>
            <w:shd w:val="clear" w:color="auto" w:fill="FFFFFF"/>
          </w:rPr>
          <w:t>ADA Standards of Care in Diabetes – 2024</w:t>
        </w:r>
      </w:hyperlink>
      <w:r w:rsidRPr="00371D69">
        <w:rPr>
          <w:rFonts w:cs="Arial"/>
          <w:color w:val="383636"/>
          <w:sz w:val="18"/>
          <w:szCs w:val="18"/>
          <w:shd w:val="clear" w:color="auto" w:fill="FFFFFF"/>
        </w:rPr>
        <w:t xml:space="preserve"> (p. S181).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384A" w14:textId="78F1466D" w:rsidR="00670A96" w:rsidRDefault="003776A1" w:rsidP="003A7EDC">
    <w:pPr>
      <w:pStyle w:val="Header"/>
    </w:pPr>
    <w:r>
      <w:rPr>
        <w:noProof/>
      </w:rPr>
      <mc:AlternateContent>
        <mc:Choice Requires="wps">
          <w:drawing>
            <wp:anchor distT="0" distB="0" distL="114300" distR="114300" simplePos="0" relativeHeight="251658241" behindDoc="0" locked="0" layoutInCell="1" allowOverlap="1" wp14:anchorId="5B27C36D" wp14:editId="053108D4">
              <wp:simplePos x="0" y="0"/>
              <wp:positionH relativeFrom="margin">
                <wp:align>center</wp:align>
              </wp:positionH>
              <wp:positionV relativeFrom="paragraph">
                <wp:posOffset>99412</wp:posOffset>
              </wp:positionV>
              <wp:extent cx="8046720" cy="59690"/>
              <wp:effectExtent l="50800" t="12700" r="30480" b="92710"/>
              <wp:wrapNone/>
              <wp:docPr id="3" name="Rectangle 3"/>
              <wp:cNvGraphicFramePr/>
              <a:graphic xmlns:a="http://schemas.openxmlformats.org/drawingml/2006/main">
                <a:graphicData uri="http://schemas.microsoft.com/office/word/2010/wordprocessingShape">
                  <wps:wsp>
                    <wps:cNvSpPr/>
                    <wps:spPr>
                      <a:xfrm>
                        <a:off x="0" y="0"/>
                        <a:ext cx="8046720" cy="59690"/>
                      </a:xfrm>
                      <a:prstGeom prst="rect">
                        <a:avLst/>
                      </a:prstGeom>
                      <a:solidFill>
                        <a:schemeClr val="accent6">
                          <a:lumMod val="40000"/>
                          <a:lumOff val="60000"/>
                        </a:schemeClr>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425073F6">
            <v:rect id="Rectangle 3" style="position:absolute;margin-left:0;margin-top:7.85pt;width:633.6pt;height:4.7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spid="_x0000_s1026" fillcolor="#c5e0b3 [1305]" stroked="f" strokeweight="1pt" w14:anchorId="799A9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">
              <v:shadow on="t" color="black" opacity="26214f" offset="0,3pt" origin=",-.5"/>
              <w10:wrap anchorx="margin"/>
            </v:rect>
          </w:pict>
        </mc:Fallback>
      </mc:AlternateContent>
    </w:r>
  </w:p>
  <w:p w14:paraId="25854773" w14:textId="77777777" w:rsidR="00670A96" w:rsidRDefault="00670A96" w:rsidP="003A7E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BFE4" w14:textId="380C67EE" w:rsidR="00670A96" w:rsidRDefault="002D3736" w:rsidP="003A7EDC">
    <w:pPr>
      <w:pStyle w:val="Header"/>
    </w:pPr>
    <w:r>
      <w:rPr>
        <w:noProof/>
      </w:rPr>
      <mc:AlternateContent>
        <mc:Choice Requires="wps">
          <w:drawing>
            <wp:anchor distT="0" distB="0" distL="114300" distR="114300" simplePos="0" relativeHeight="251658242" behindDoc="0" locked="0" layoutInCell="1" allowOverlap="1" wp14:anchorId="4EFBEFE6" wp14:editId="21907E4A">
              <wp:simplePos x="0" y="0"/>
              <wp:positionH relativeFrom="column">
                <wp:posOffset>4929505</wp:posOffset>
              </wp:positionH>
              <wp:positionV relativeFrom="paragraph">
                <wp:posOffset>-485303</wp:posOffset>
              </wp:positionV>
              <wp:extent cx="1611517" cy="548640"/>
              <wp:effectExtent l="0" t="0" r="14605" b="10160"/>
              <wp:wrapNone/>
              <wp:docPr id="59831790" name="Text Box 7"/>
              <wp:cNvGraphicFramePr/>
              <a:graphic xmlns:a="http://schemas.openxmlformats.org/drawingml/2006/main">
                <a:graphicData uri="http://schemas.microsoft.com/office/word/2010/wordprocessingShape">
                  <wps:wsp>
                    <wps:cNvSpPr txBox="1"/>
                    <wps:spPr>
                      <a:xfrm>
                        <a:off x="0" y="0"/>
                        <a:ext cx="1611517" cy="548640"/>
                      </a:xfrm>
                      <a:prstGeom prst="rect">
                        <a:avLst/>
                      </a:prstGeom>
                      <a:solidFill>
                        <a:schemeClr val="lt1"/>
                      </a:solidFill>
                      <a:ln w="6350">
                        <a:solidFill>
                          <a:schemeClr val="tx1"/>
                        </a:solidFill>
                      </a:ln>
                    </wps:spPr>
                    <wps:txbx>
                      <w:txbxContent>
                        <w:p w14:paraId="76716283" w14:textId="7BAB9C39" w:rsidR="002D3736" w:rsidRDefault="002D3736" w:rsidP="002D3736">
                          <w:pPr>
                            <w:ind w:right="-12"/>
                            <w:jc w:val="center"/>
                          </w:pPr>
                          <w:r>
                            <w:t>Insert clinic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w14:anchorId="7432BED1">
            <v:shapetype id="_x0000_t202" coordsize="21600,21600" o:spt="202" path="m,l,21600r21600,l21600,xe" w14:anchorId="4EFBEFE6">
              <v:stroke joinstyle="miter"/>
              <v:path gradientshapeok="t" o:connecttype="rect"/>
            </v:shapetype>
            <v:shape id="Text Box 7" style="position:absolute;margin-left:388.15pt;margin-top:-38.2pt;width:126.9pt;height:43.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0"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">
              <v:textbox>
                <w:txbxContent>
                  <w:p w:rsidR="002D3736" w:rsidP="002D3736" w:rsidRDefault="002D3736" w14:paraId="4FF95842" w14:textId="7BAB9C39">
                    <w:pPr>
                      <w:ind w:right="-12"/>
                      <w:jc w:val="center"/>
                    </w:pPr>
                    <w:r>
                      <w:t>Insert clinic logo here</w:t>
                    </w:r>
                  </w:p>
                </w:txbxContent>
              </v:textbox>
            </v:shape>
          </w:pict>
        </mc:Fallback>
      </mc:AlternateContent>
    </w:r>
    <w:r w:rsidR="009C3043">
      <w:rPr>
        <w:noProof/>
      </w:rPr>
      <mc:AlternateContent>
        <mc:Choice Requires="wps">
          <w:drawing>
            <wp:anchor distT="0" distB="0" distL="114300" distR="114300" simplePos="0" relativeHeight="251658240" behindDoc="0" locked="0" layoutInCell="1" allowOverlap="1" wp14:anchorId="509C2CD2" wp14:editId="04E06357">
              <wp:simplePos x="0" y="0"/>
              <wp:positionH relativeFrom="margin">
                <wp:align>center</wp:align>
              </wp:positionH>
              <wp:positionV relativeFrom="paragraph">
                <wp:posOffset>182880</wp:posOffset>
              </wp:positionV>
              <wp:extent cx="10058400" cy="59690"/>
              <wp:effectExtent l="25400" t="25400" r="63500" b="92710"/>
              <wp:wrapNone/>
              <wp:docPr id="1" name="Rectangle 1"/>
              <wp:cNvGraphicFramePr/>
              <a:graphic xmlns:a="http://schemas.openxmlformats.org/drawingml/2006/main">
                <a:graphicData uri="http://schemas.microsoft.com/office/word/2010/wordprocessingShape">
                  <wps:wsp>
                    <wps:cNvSpPr/>
                    <wps:spPr>
                      <a:xfrm>
                        <a:off x="0" y="0"/>
                        <a:ext cx="10058400" cy="59690"/>
                      </a:xfrm>
                      <a:prstGeom prst="rect">
                        <a:avLst/>
                      </a:prstGeom>
                      <a:solidFill>
                        <a:schemeClr val="accent6">
                          <a:lumMod val="40000"/>
                          <a:lumOff val="6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2BDF81C4">
            <v:rect id="Rectangle 1" style="position:absolute;margin-left:0;margin-top:14.4pt;width:11in;height:4.7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spid="_x0000_s1026" fillcolor="#c5e0b3 [1305]" stroked="f" strokeweight="1pt" w14:anchorId="11D2A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">
              <v:shadow on="t" color="black" opacity="26214f" offset=".74836mm,.74836mm" origin="-.5,-.5"/>
              <w10:wrap anchorx="margin"/>
            </v:rect>
          </w:pict>
        </mc:Fallback>
      </mc:AlternateContent>
    </w:r>
  </w:p>
  <w:p w14:paraId="0D5F5636" w14:textId="324FDF96" w:rsidR="00670A96" w:rsidRDefault="00670A96" w:rsidP="003A7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9A6"/>
    <w:multiLevelType w:val="hybridMultilevel"/>
    <w:tmpl w:val="1528279C"/>
    <w:lvl w:ilvl="0" w:tplc="E1BA2152">
      <w:start w:val="1"/>
      <w:numFmt w:val="bullet"/>
      <w:lvlText w:val="•"/>
      <w:lvlJc w:val="left"/>
      <w:pPr>
        <w:tabs>
          <w:tab w:val="num" w:pos="720"/>
        </w:tabs>
        <w:ind w:left="720" w:hanging="360"/>
      </w:pPr>
      <w:rPr>
        <w:rFonts w:ascii="Arial" w:hAnsi="Arial" w:hint="default"/>
      </w:rPr>
    </w:lvl>
    <w:lvl w:ilvl="1" w:tplc="8838768C">
      <w:start w:val="1"/>
      <w:numFmt w:val="bullet"/>
      <w:lvlText w:val="•"/>
      <w:lvlJc w:val="left"/>
      <w:pPr>
        <w:tabs>
          <w:tab w:val="num" w:pos="1440"/>
        </w:tabs>
        <w:ind w:left="1440" w:hanging="360"/>
      </w:pPr>
      <w:rPr>
        <w:rFonts w:ascii="Arial" w:hAnsi="Arial" w:hint="default"/>
      </w:rPr>
    </w:lvl>
    <w:lvl w:ilvl="2" w:tplc="39C2249A" w:tentative="1">
      <w:start w:val="1"/>
      <w:numFmt w:val="bullet"/>
      <w:lvlText w:val="•"/>
      <w:lvlJc w:val="left"/>
      <w:pPr>
        <w:tabs>
          <w:tab w:val="num" w:pos="2160"/>
        </w:tabs>
        <w:ind w:left="2160" w:hanging="360"/>
      </w:pPr>
      <w:rPr>
        <w:rFonts w:ascii="Arial" w:hAnsi="Arial" w:hint="default"/>
      </w:rPr>
    </w:lvl>
    <w:lvl w:ilvl="3" w:tplc="96407B70" w:tentative="1">
      <w:start w:val="1"/>
      <w:numFmt w:val="bullet"/>
      <w:lvlText w:val="•"/>
      <w:lvlJc w:val="left"/>
      <w:pPr>
        <w:tabs>
          <w:tab w:val="num" w:pos="2880"/>
        </w:tabs>
        <w:ind w:left="2880" w:hanging="360"/>
      </w:pPr>
      <w:rPr>
        <w:rFonts w:ascii="Arial" w:hAnsi="Arial" w:hint="default"/>
      </w:rPr>
    </w:lvl>
    <w:lvl w:ilvl="4" w:tplc="1E9E1244" w:tentative="1">
      <w:start w:val="1"/>
      <w:numFmt w:val="bullet"/>
      <w:lvlText w:val="•"/>
      <w:lvlJc w:val="left"/>
      <w:pPr>
        <w:tabs>
          <w:tab w:val="num" w:pos="3600"/>
        </w:tabs>
        <w:ind w:left="3600" w:hanging="360"/>
      </w:pPr>
      <w:rPr>
        <w:rFonts w:ascii="Arial" w:hAnsi="Arial" w:hint="default"/>
      </w:rPr>
    </w:lvl>
    <w:lvl w:ilvl="5" w:tplc="22CA0AA6" w:tentative="1">
      <w:start w:val="1"/>
      <w:numFmt w:val="bullet"/>
      <w:lvlText w:val="•"/>
      <w:lvlJc w:val="left"/>
      <w:pPr>
        <w:tabs>
          <w:tab w:val="num" w:pos="4320"/>
        </w:tabs>
        <w:ind w:left="4320" w:hanging="360"/>
      </w:pPr>
      <w:rPr>
        <w:rFonts w:ascii="Arial" w:hAnsi="Arial" w:hint="default"/>
      </w:rPr>
    </w:lvl>
    <w:lvl w:ilvl="6" w:tplc="F1D8AB78" w:tentative="1">
      <w:start w:val="1"/>
      <w:numFmt w:val="bullet"/>
      <w:lvlText w:val="•"/>
      <w:lvlJc w:val="left"/>
      <w:pPr>
        <w:tabs>
          <w:tab w:val="num" w:pos="5040"/>
        </w:tabs>
        <w:ind w:left="5040" w:hanging="360"/>
      </w:pPr>
      <w:rPr>
        <w:rFonts w:ascii="Arial" w:hAnsi="Arial" w:hint="default"/>
      </w:rPr>
    </w:lvl>
    <w:lvl w:ilvl="7" w:tplc="9CE20B6E" w:tentative="1">
      <w:start w:val="1"/>
      <w:numFmt w:val="bullet"/>
      <w:lvlText w:val="•"/>
      <w:lvlJc w:val="left"/>
      <w:pPr>
        <w:tabs>
          <w:tab w:val="num" w:pos="5760"/>
        </w:tabs>
        <w:ind w:left="5760" w:hanging="360"/>
      </w:pPr>
      <w:rPr>
        <w:rFonts w:ascii="Arial" w:hAnsi="Arial" w:hint="default"/>
      </w:rPr>
    </w:lvl>
    <w:lvl w:ilvl="8" w:tplc="EBB0465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E61D6C"/>
    <w:multiLevelType w:val="hybridMultilevel"/>
    <w:tmpl w:val="B980E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0C24"/>
    <w:multiLevelType w:val="hybridMultilevel"/>
    <w:tmpl w:val="E130A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77F"/>
    <w:multiLevelType w:val="hybridMultilevel"/>
    <w:tmpl w:val="E92CB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4304F"/>
    <w:multiLevelType w:val="hybridMultilevel"/>
    <w:tmpl w:val="6FA8F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EBC"/>
    <w:multiLevelType w:val="hybridMultilevel"/>
    <w:tmpl w:val="B8FA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A43144"/>
    <w:multiLevelType w:val="hybridMultilevel"/>
    <w:tmpl w:val="9B9E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2565F"/>
    <w:multiLevelType w:val="hybridMultilevel"/>
    <w:tmpl w:val="82A8D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913142"/>
    <w:multiLevelType w:val="hybridMultilevel"/>
    <w:tmpl w:val="DAAA4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A255F1"/>
    <w:multiLevelType w:val="hybridMultilevel"/>
    <w:tmpl w:val="05528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A07D2"/>
    <w:multiLevelType w:val="hybridMultilevel"/>
    <w:tmpl w:val="EFFAC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22FA9"/>
    <w:multiLevelType w:val="hybridMultilevel"/>
    <w:tmpl w:val="4210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922B8"/>
    <w:multiLevelType w:val="hybridMultilevel"/>
    <w:tmpl w:val="28EEC1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2134C7"/>
    <w:multiLevelType w:val="hybridMultilevel"/>
    <w:tmpl w:val="F1C4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F8626F"/>
    <w:multiLevelType w:val="hybridMultilevel"/>
    <w:tmpl w:val="83D29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9C77A2"/>
    <w:multiLevelType w:val="hybridMultilevel"/>
    <w:tmpl w:val="A5C2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C3D6F"/>
    <w:multiLevelType w:val="hybridMultilevel"/>
    <w:tmpl w:val="3D3C7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D65CA8"/>
    <w:multiLevelType w:val="hybridMultilevel"/>
    <w:tmpl w:val="0BCAB0FC"/>
    <w:lvl w:ilvl="0" w:tplc="6C4871A4">
      <w:start w:val="1"/>
      <w:numFmt w:val="decimal"/>
      <w:pStyle w:val="ListNumber"/>
      <w:lvlText w:val="%1."/>
      <w:lvlJc w:val="left"/>
      <w:pPr>
        <w:ind w:left="720" w:hanging="360"/>
      </w:pPr>
    </w:lvl>
    <w:lvl w:ilvl="1" w:tplc="4D308D0E">
      <w:start w:val="1"/>
      <w:numFmt w:val="lowerLetter"/>
      <w:pStyle w:val="ListNumber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1E2D79"/>
    <w:multiLevelType w:val="hybridMultilevel"/>
    <w:tmpl w:val="64826B10"/>
    <w:lvl w:ilvl="0" w:tplc="C9B4A224">
      <w:start w:val="1"/>
      <w:numFmt w:val="decimal"/>
      <w:lvlText w:val="%1."/>
      <w:lvlJc w:val="left"/>
      <w:pPr>
        <w:tabs>
          <w:tab w:val="num" w:pos="720"/>
        </w:tabs>
        <w:ind w:left="720" w:hanging="360"/>
      </w:pPr>
    </w:lvl>
    <w:lvl w:ilvl="1" w:tplc="F0908020" w:tentative="1">
      <w:start w:val="1"/>
      <w:numFmt w:val="decimal"/>
      <w:lvlText w:val="%2."/>
      <w:lvlJc w:val="left"/>
      <w:pPr>
        <w:tabs>
          <w:tab w:val="num" w:pos="1440"/>
        </w:tabs>
        <w:ind w:left="1440" w:hanging="360"/>
      </w:pPr>
    </w:lvl>
    <w:lvl w:ilvl="2" w:tplc="C1DA38A8" w:tentative="1">
      <w:start w:val="1"/>
      <w:numFmt w:val="decimal"/>
      <w:lvlText w:val="%3."/>
      <w:lvlJc w:val="left"/>
      <w:pPr>
        <w:tabs>
          <w:tab w:val="num" w:pos="2160"/>
        </w:tabs>
        <w:ind w:left="2160" w:hanging="360"/>
      </w:pPr>
    </w:lvl>
    <w:lvl w:ilvl="3" w:tplc="FAD66FBE" w:tentative="1">
      <w:start w:val="1"/>
      <w:numFmt w:val="decimal"/>
      <w:lvlText w:val="%4."/>
      <w:lvlJc w:val="left"/>
      <w:pPr>
        <w:tabs>
          <w:tab w:val="num" w:pos="2880"/>
        </w:tabs>
        <w:ind w:left="2880" w:hanging="360"/>
      </w:pPr>
    </w:lvl>
    <w:lvl w:ilvl="4" w:tplc="5B7899A4" w:tentative="1">
      <w:start w:val="1"/>
      <w:numFmt w:val="decimal"/>
      <w:lvlText w:val="%5."/>
      <w:lvlJc w:val="left"/>
      <w:pPr>
        <w:tabs>
          <w:tab w:val="num" w:pos="3600"/>
        </w:tabs>
        <w:ind w:left="3600" w:hanging="360"/>
      </w:pPr>
    </w:lvl>
    <w:lvl w:ilvl="5" w:tplc="B554CD70" w:tentative="1">
      <w:start w:val="1"/>
      <w:numFmt w:val="decimal"/>
      <w:lvlText w:val="%6."/>
      <w:lvlJc w:val="left"/>
      <w:pPr>
        <w:tabs>
          <w:tab w:val="num" w:pos="4320"/>
        </w:tabs>
        <w:ind w:left="4320" w:hanging="360"/>
      </w:pPr>
    </w:lvl>
    <w:lvl w:ilvl="6" w:tplc="BDD62ADE" w:tentative="1">
      <w:start w:val="1"/>
      <w:numFmt w:val="decimal"/>
      <w:lvlText w:val="%7."/>
      <w:lvlJc w:val="left"/>
      <w:pPr>
        <w:tabs>
          <w:tab w:val="num" w:pos="5040"/>
        </w:tabs>
        <w:ind w:left="5040" w:hanging="360"/>
      </w:pPr>
    </w:lvl>
    <w:lvl w:ilvl="7" w:tplc="E5ACBB82" w:tentative="1">
      <w:start w:val="1"/>
      <w:numFmt w:val="decimal"/>
      <w:lvlText w:val="%8."/>
      <w:lvlJc w:val="left"/>
      <w:pPr>
        <w:tabs>
          <w:tab w:val="num" w:pos="5760"/>
        </w:tabs>
        <w:ind w:left="5760" w:hanging="360"/>
      </w:pPr>
    </w:lvl>
    <w:lvl w:ilvl="8" w:tplc="E5E2B7AC" w:tentative="1">
      <w:start w:val="1"/>
      <w:numFmt w:val="decimal"/>
      <w:lvlText w:val="%9."/>
      <w:lvlJc w:val="left"/>
      <w:pPr>
        <w:tabs>
          <w:tab w:val="num" w:pos="6480"/>
        </w:tabs>
        <w:ind w:left="6480" w:hanging="360"/>
      </w:pPr>
    </w:lvl>
  </w:abstractNum>
  <w:abstractNum w:abstractNumId="19" w15:restartNumberingAfterBreak="0">
    <w:nsid w:val="514466D5"/>
    <w:multiLevelType w:val="hybridMultilevel"/>
    <w:tmpl w:val="03DA015C"/>
    <w:lvl w:ilvl="0" w:tplc="C11E3BD4">
      <w:start w:val="1"/>
      <w:numFmt w:val="bullet"/>
      <w:pStyle w:val="ListBullet"/>
      <w:lvlText w:val=""/>
      <w:lvlJc w:val="left"/>
      <w:pPr>
        <w:ind w:left="720" w:hanging="360"/>
      </w:pPr>
      <w:rPr>
        <w:rFonts w:ascii="Symbol" w:hAnsi="Symbol" w:hint="default"/>
      </w:rPr>
    </w:lvl>
    <w:lvl w:ilvl="1" w:tplc="7F2088D4">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E0AFF"/>
    <w:multiLevelType w:val="multilevel"/>
    <w:tmpl w:val="3230E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CF1B32"/>
    <w:multiLevelType w:val="multilevel"/>
    <w:tmpl w:val="1DA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D9291E"/>
    <w:multiLevelType w:val="hybridMultilevel"/>
    <w:tmpl w:val="26D6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075EB"/>
    <w:multiLevelType w:val="multilevel"/>
    <w:tmpl w:val="188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120E0"/>
    <w:multiLevelType w:val="hybridMultilevel"/>
    <w:tmpl w:val="B04C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51090"/>
    <w:multiLevelType w:val="multilevel"/>
    <w:tmpl w:val="501E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F629FE"/>
    <w:multiLevelType w:val="hybridMultilevel"/>
    <w:tmpl w:val="85B0542E"/>
    <w:lvl w:ilvl="0" w:tplc="F3FA60A8">
      <w:start w:val="1"/>
      <w:numFmt w:val="bullet"/>
      <w:lvlText w:val="•"/>
      <w:lvlJc w:val="left"/>
      <w:pPr>
        <w:tabs>
          <w:tab w:val="num" w:pos="720"/>
        </w:tabs>
        <w:ind w:left="720" w:hanging="360"/>
      </w:pPr>
      <w:rPr>
        <w:rFonts w:ascii="Arial" w:hAnsi="Arial" w:hint="default"/>
      </w:rPr>
    </w:lvl>
    <w:lvl w:ilvl="1" w:tplc="96E427EA">
      <w:numFmt w:val="bullet"/>
      <w:lvlText w:val="•"/>
      <w:lvlJc w:val="left"/>
      <w:pPr>
        <w:tabs>
          <w:tab w:val="num" w:pos="1440"/>
        </w:tabs>
        <w:ind w:left="1440" w:hanging="360"/>
      </w:pPr>
      <w:rPr>
        <w:rFonts w:ascii="Arial" w:hAnsi="Arial" w:hint="default"/>
      </w:rPr>
    </w:lvl>
    <w:lvl w:ilvl="2" w:tplc="C49661F6" w:tentative="1">
      <w:start w:val="1"/>
      <w:numFmt w:val="bullet"/>
      <w:lvlText w:val="•"/>
      <w:lvlJc w:val="left"/>
      <w:pPr>
        <w:tabs>
          <w:tab w:val="num" w:pos="2160"/>
        </w:tabs>
        <w:ind w:left="2160" w:hanging="360"/>
      </w:pPr>
      <w:rPr>
        <w:rFonts w:ascii="Arial" w:hAnsi="Arial" w:hint="default"/>
      </w:rPr>
    </w:lvl>
    <w:lvl w:ilvl="3" w:tplc="86F0388C" w:tentative="1">
      <w:start w:val="1"/>
      <w:numFmt w:val="bullet"/>
      <w:lvlText w:val="•"/>
      <w:lvlJc w:val="left"/>
      <w:pPr>
        <w:tabs>
          <w:tab w:val="num" w:pos="2880"/>
        </w:tabs>
        <w:ind w:left="2880" w:hanging="360"/>
      </w:pPr>
      <w:rPr>
        <w:rFonts w:ascii="Arial" w:hAnsi="Arial" w:hint="default"/>
      </w:rPr>
    </w:lvl>
    <w:lvl w:ilvl="4" w:tplc="CC209264" w:tentative="1">
      <w:start w:val="1"/>
      <w:numFmt w:val="bullet"/>
      <w:lvlText w:val="•"/>
      <w:lvlJc w:val="left"/>
      <w:pPr>
        <w:tabs>
          <w:tab w:val="num" w:pos="3600"/>
        </w:tabs>
        <w:ind w:left="3600" w:hanging="360"/>
      </w:pPr>
      <w:rPr>
        <w:rFonts w:ascii="Arial" w:hAnsi="Arial" w:hint="default"/>
      </w:rPr>
    </w:lvl>
    <w:lvl w:ilvl="5" w:tplc="A48060D4" w:tentative="1">
      <w:start w:val="1"/>
      <w:numFmt w:val="bullet"/>
      <w:lvlText w:val="•"/>
      <w:lvlJc w:val="left"/>
      <w:pPr>
        <w:tabs>
          <w:tab w:val="num" w:pos="4320"/>
        </w:tabs>
        <w:ind w:left="4320" w:hanging="360"/>
      </w:pPr>
      <w:rPr>
        <w:rFonts w:ascii="Arial" w:hAnsi="Arial" w:hint="default"/>
      </w:rPr>
    </w:lvl>
    <w:lvl w:ilvl="6" w:tplc="174E84F8" w:tentative="1">
      <w:start w:val="1"/>
      <w:numFmt w:val="bullet"/>
      <w:lvlText w:val="•"/>
      <w:lvlJc w:val="left"/>
      <w:pPr>
        <w:tabs>
          <w:tab w:val="num" w:pos="5040"/>
        </w:tabs>
        <w:ind w:left="5040" w:hanging="360"/>
      </w:pPr>
      <w:rPr>
        <w:rFonts w:ascii="Arial" w:hAnsi="Arial" w:hint="default"/>
      </w:rPr>
    </w:lvl>
    <w:lvl w:ilvl="7" w:tplc="B610F5F4" w:tentative="1">
      <w:start w:val="1"/>
      <w:numFmt w:val="bullet"/>
      <w:lvlText w:val="•"/>
      <w:lvlJc w:val="left"/>
      <w:pPr>
        <w:tabs>
          <w:tab w:val="num" w:pos="5760"/>
        </w:tabs>
        <w:ind w:left="5760" w:hanging="360"/>
      </w:pPr>
      <w:rPr>
        <w:rFonts w:ascii="Arial" w:hAnsi="Arial" w:hint="default"/>
      </w:rPr>
    </w:lvl>
    <w:lvl w:ilvl="8" w:tplc="4B9AD59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05E3CCC"/>
    <w:multiLevelType w:val="hybridMultilevel"/>
    <w:tmpl w:val="608AE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4D30A4"/>
    <w:multiLevelType w:val="hybridMultilevel"/>
    <w:tmpl w:val="8C88A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4623975">
    <w:abstractNumId w:val="19"/>
  </w:num>
  <w:num w:numId="2" w16cid:durableId="2010131578">
    <w:abstractNumId w:val="17"/>
  </w:num>
  <w:num w:numId="3" w16cid:durableId="1687831141">
    <w:abstractNumId w:val="12"/>
  </w:num>
  <w:num w:numId="4" w16cid:durableId="1626503100">
    <w:abstractNumId w:val="0"/>
  </w:num>
  <w:num w:numId="5" w16cid:durableId="682781099">
    <w:abstractNumId w:val="26"/>
  </w:num>
  <w:num w:numId="6" w16cid:durableId="18468268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90643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7897466">
    <w:abstractNumId w:val="13"/>
  </w:num>
  <w:num w:numId="9" w16cid:durableId="1115488668">
    <w:abstractNumId w:val="24"/>
  </w:num>
  <w:num w:numId="10" w16cid:durableId="604965351">
    <w:abstractNumId w:val="3"/>
  </w:num>
  <w:num w:numId="11" w16cid:durableId="1331252340">
    <w:abstractNumId w:val="16"/>
  </w:num>
  <w:num w:numId="12" w16cid:durableId="1631939059">
    <w:abstractNumId w:val="23"/>
  </w:num>
  <w:num w:numId="13" w16cid:durableId="5525848">
    <w:abstractNumId w:val="22"/>
  </w:num>
  <w:num w:numId="14" w16cid:durableId="1414157434">
    <w:abstractNumId w:val="1"/>
  </w:num>
  <w:num w:numId="15" w16cid:durableId="1987080060">
    <w:abstractNumId w:val="7"/>
  </w:num>
  <w:num w:numId="16" w16cid:durableId="454522319">
    <w:abstractNumId w:val="14"/>
  </w:num>
  <w:num w:numId="17" w16cid:durableId="247665316">
    <w:abstractNumId w:val="20"/>
  </w:num>
  <w:num w:numId="18" w16cid:durableId="1838694137">
    <w:abstractNumId w:val="21"/>
  </w:num>
  <w:num w:numId="19" w16cid:durableId="935791397">
    <w:abstractNumId w:val="25"/>
  </w:num>
  <w:num w:numId="20" w16cid:durableId="2060127232">
    <w:abstractNumId w:val="28"/>
  </w:num>
  <w:num w:numId="21" w16cid:durableId="830410485">
    <w:abstractNumId w:val="2"/>
  </w:num>
  <w:num w:numId="22" w16cid:durableId="2095935001">
    <w:abstractNumId w:val="15"/>
  </w:num>
  <w:num w:numId="23" w16cid:durableId="1969389554">
    <w:abstractNumId w:val="18"/>
  </w:num>
  <w:num w:numId="24" w16cid:durableId="1754858052">
    <w:abstractNumId w:val="6"/>
  </w:num>
  <w:num w:numId="25" w16cid:durableId="351036852">
    <w:abstractNumId w:val="10"/>
  </w:num>
  <w:num w:numId="26" w16cid:durableId="2130510491">
    <w:abstractNumId w:val="9"/>
  </w:num>
  <w:num w:numId="27" w16cid:durableId="1559167196">
    <w:abstractNumId w:val="8"/>
  </w:num>
  <w:num w:numId="28" w16cid:durableId="847863001">
    <w:abstractNumId w:val="11"/>
  </w:num>
  <w:num w:numId="29" w16cid:durableId="1543589339">
    <w:abstractNumId w:val="4"/>
  </w:num>
  <w:num w:numId="30" w16cid:durableId="130338292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NLO0NDcwNDU3NzNS0lEKTi0uzszPAykwqQUALd50fywAAAA="/>
  </w:docVars>
  <w:rsids>
    <w:rsidRoot w:val="00684DD1"/>
    <w:rsid w:val="000005B3"/>
    <w:rsid w:val="00011EBE"/>
    <w:rsid w:val="00017096"/>
    <w:rsid w:val="0002029C"/>
    <w:rsid w:val="000236C0"/>
    <w:rsid w:val="00024C70"/>
    <w:rsid w:val="00030B23"/>
    <w:rsid w:val="00031F26"/>
    <w:rsid w:val="00043F98"/>
    <w:rsid w:val="00045D13"/>
    <w:rsid w:val="00047107"/>
    <w:rsid w:val="00051A7A"/>
    <w:rsid w:val="00053412"/>
    <w:rsid w:val="000564E7"/>
    <w:rsid w:val="000568E2"/>
    <w:rsid w:val="00060C38"/>
    <w:rsid w:val="00062F26"/>
    <w:rsid w:val="000713FF"/>
    <w:rsid w:val="00081F8C"/>
    <w:rsid w:val="00090CF1"/>
    <w:rsid w:val="000B00EF"/>
    <w:rsid w:val="000B5464"/>
    <w:rsid w:val="000C537E"/>
    <w:rsid w:val="000D18DD"/>
    <w:rsid w:val="000E7B6D"/>
    <w:rsid w:val="000F7F1B"/>
    <w:rsid w:val="001045CA"/>
    <w:rsid w:val="0011711F"/>
    <w:rsid w:val="0012703C"/>
    <w:rsid w:val="00127494"/>
    <w:rsid w:val="00136616"/>
    <w:rsid w:val="00137D2A"/>
    <w:rsid w:val="00142C2B"/>
    <w:rsid w:val="0015012E"/>
    <w:rsid w:val="00153E45"/>
    <w:rsid w:val="00157D66"/>
    <w:rsid w:val="00161AB8"/>
    <w:rsid w:val="00191120"/>
    <w:rsid w:val="001967DF"/>
    <w:rsid w:val="001A3584"/>
    <w:rsid w:val="001B4A47"/>
    <w:rsid w:val="001B5680"/>
    <w:rsid w:val="001B758B"/>
    <w:rsid w:val="001C3026"/>
    <w:rsid w:val="001D1AA3"/>
    <w:rsid w:val="001E28F5"/>
    <w:rsid w:val="001F2A85"/>
    <w:rsid w:val="001F3686"/>
    <w:rsid w:val="00202264"/>
    <w:rsid w:val="00224152"/>
    <w:rsid w:val="00232666"/>
    <w:rsid w:val="00240544"/>
    <w:rsid w:val="00254044"/>
    <w:rsid w:val="00257770"/>
    <w:rsid w:val="00260FC2"/>
    <w:rsid w:val="002652FA"/>
    <w:rsid w:val="0028680B"/>
    <w:rsid w:val="0028705A"/>
    <w:rsid w:val="00291E51"/>
    <w:rsid w:val="0029689D"/>
    <w:rsid w:val="002A1DEF"/>
    <w:rsid w:val="002B2264"/>
    <w:rsid w:val="002D1091"/>
    <w:rsid w:val="002D1DC6"/>
    <w:rsid w:val="002D3736"/>
    <w:rsid w:val="002E1B57"/>
    <w:rsid w:val="002E72FF"/>
    <w:rsid w:val="002F14EE"/>
    <w:rsid w:val="002F269E"/>
    <w:rsid w:val="002F42AD"/>
    <w:rsid w:val="00312343"/>
    <w:rsid w:val="00353E9C"/>
    <w:rsid w:val="0036495D"/>
    <w:rsid w:val="00373CC6"/>
    <w:rsid w:val="0037523F"/>
    <w:rsid w:val="00375BE4"/>
    <w:rsid w:val="003774B6"/>
    <w:rsid w:val="003776A1"/>
    <w:rsid w:val="0038070B"/>
    <w:rsid w:val="00395BD3"/>
    <w:rsid w:val="003A47E0"/>
    <w:rsid w:val="003A7EDC"/>
    <w:rsid w:val="003B256C"/>
    <w:rsid w:val="003B2F64"/>
    <w:rsid w:val="003C58CB"/>
    <w:rsid w:val="003C7CC7"/>
    <w:rsid w:val="003D0961"/>
    <w:rsid w:val="003D0EB2"/>
    <w:rsid w:val="003D3280"/>
    <w:rsid w:val="003D6D2B"/>
    <w:rsid w:val="003F0EDB"/>
    <w:rsid w:val="003F1359"/>
    <w:rsid w:val="003F224B"/>
    <w:rsid w:val="003F36EE"/>
    <w:rsid w:val="0041129F"/>
    <w:rsid w:val="00416346"/>
    <w:rsid w:val="00422F58"/>
    <w:rsid w:val="004367DC"/>
    <w:rsid w:val="00440BAF"/>
    <w:rsid w:val="00456994"/>
    <w:rsid w:val="00467E1B"/>
    <w:rsid w:val="00467F09"/>
    <w:rsid w:val="00470CD5"/>
    <w:rsid w:val="004731A6"/>
    <w:rsid w:val="00473D72"/>
    <w:rsid w:val="004800D1"/>
    <w:rsid w:val="00482948"/>
    <w:rsid w:val="0048473F"/>
    <w:rsid w:val="00485052"/>
    <w:rsid w:val="00487D70"/>
    <w:rsid w:val="004A24AA"/>
    <w:rsid w:val="004A73E0"/>
    <w:rsid w:val="004C5EE8"/>
    <w:rsid w:val="004C6CA7"/>
    <w:rsid w:val="004E2858"/>
    <w:rsid w:val="004F2119"/>
    <w:rsid w:val="005006FF"/>
    <w:rsid w:val="00501BB0"/>
    <w:rsid w:val="0050333D"/>
    <w:rsid w:val="005043B9"/>
    <w:rsid w:val="00504C44"/>
    <w:rsid w:val="00507C24"/>
    <w:rsid w:val="005144D3"/>
    <w:rsid w:val="00516ED5"/>
    <w:rsid w:val="00533111"/>
    <w:rsid w:val="00536315"/>
    <w:rsid w:val="00542B3B"/>
    <w:rsid w:val="00543187"/>
    <w:rsid w:val="00550034"/>
    <w:rsid w:val="00565AB1"/>
    <w:rsid w:val="00573ADC"/>
    <w:rsid w:val="00584B59"/>
    <w:rsid w:val="005877CD"/>
    <w:rsid w:val="00592DF2"/>
    <w:rsid w:val="005957C0"/>
    <w:rsid w:val="005B1526"/>
    <w:rsid w:val="005B71CD"/>
    <w:rsid w:val="005D42F2"/>
    <w:rsid w:val="005E1369"/>
    <w:rsid w:val="00611A0A"/>
    <w:rsid w:val="00613246"/>
    <w:rsid w:val="00626F07"/>
    <w:rsid w:val="00632177"/>
    <w:rsid w:val="00635044"/>
    <w:rsid w:val="006445C8"/>
    <w:rsid w:val="00661C1B"/>
    <w:rsid w:val="0067051C"/>
    <w:rsid w:val="00670A96"/>
    <w:rsid w:val="006726CD"/>
    <w:rsid w:val="00684256"/>
    <w:rsid w:val="00684DD1"/>
    <w:rsid w:val="006977C6"/>
    <w:rsid w:val="006C0267"/>
    <w:rsid w:val="006C0C61"/>
    <w:rsid w:val="006E38AB"/>
    <w:rsid w:val="006E4825"/>
    <w:rsid w:val="006F278D"/>
    <w:rsid w:val="006F4BE2"/>
    <w:rsid w:val="007001C1"/>
    <w:rsid w:val="00700D7C"/>
    <w:rsid w:val="00704B53"/>
    <w:rsid w:val="007135BC"/>
    <w:rsid w:val="007172C6"/>
    <w:rsid w:val="007277CA"/>
    <w:rsid w:val="00732B02"/>
    <w:rsid w:val="00736D33"/>
    <w:rsid w:val="0074110B"/>
    <w:rsid w:val="00742172"/>
    <w:rsid w:val="007508C3"/>
    <w:rsid w:val="00772CEB"/>
    <w:rsid w:val="00777467"/>
    <w:rsid w:val="0078287C"/>
    <w:rsid w:val="007929BC"/>
    <w:rsid w:val="00793AED"/>
    <w:rsid w:val="0079743D"/>
    <w:rsid w:val="007C13C7"/>
    <w:rsid w:val="007C2B8E"/>
    <w:rsid w:val="007D316D"/>
    <w:rsid w:val="007F22D9"/>
    <w:rsid w:val="007F614C"/>
    <w:rsid w:val="00801C51"/>
    <w:rsid w:val="008053D7"/>
    <w:rsid w:val="00811C7E"/>
    <w:rsid w:val="00813A1D"/>
    <w:rsid w:val="00816147"/>
    <w:rsid w:val="00820F2C"/>
    <w:rsid w:val="00822E4E"/>
    <w:rsid w:val="00827E05"/>
    <w:rsid w:val="00831880"/>
    <w:rsid w:val="00832318"/>
    <w:rsid w:val="00861F46"/>
    <w:rsid w:val="008718C4"/>
    <w:rsid w:val="008806E2"/>
    <w:rsid w:val="008816C0"/>
    <w:rsid w:val="008923C1"/>
    <w:rsid w:val="008A0FD1"/>
    <w:rsid w:val="008A1F91"/>
    <w:rsid w:val="008A7229"/>
    <w:rsid w:val="008C0FB7"/>
    <w:rsid w:val="008C156D"/>
    <w:rsid w:val="008C17B3"/>
    <w:rsid w:val="008C26DD"/>
    <w:rsid w:val="008C792D"/>
    <w:rsid w:val="008E2D57"/>
    <w:rsid w:val="008F157C"/>
    <w:rsid w:val="009143AA"/>
    <w:rsid w:val="00917C62"/>
    <w:rsid w:val="00935DFF"/>
    <w:rsid w:val="00937A3A"/>
    <w:rsid w:val="00940583"/>
    <w:rsid w:val="00940C4C"/>
    <w:rsid w:val="0095172F"/>
    <w:rsid w:val="00957EBE"/>
    <w:rsid w:val="00972C86"/>
    <w:rsid w:val="00973A8A"/>
    <w:rsid w:val="00980139"/>
    <w:rsid w:val="009930C7"/>
    <w:rsid w:val="0099313B"/>
    <w:rsid w:val="00997788"/>
    <w:rsid w:val="009B1481"/>
    <w:rsid w:val="009B52A1"/>
    <w:rsid w:val="009C1DDE"/>
    <w:rsid w:val="009C3043"/>
    <w:rsid w:val="009D5D98"/>
    <w:rsid w:val="009D6B9E"/>
    <w:rsid w:val="009E3A99"/>
    <w:rsid w:val="009F1508"/>
    <w:rsid w:val="009F225B"/>
    <w:rsid w:val="00A05E27"/>
    <w:rsid w:val="00A06CF6"/>
    <w:rsid w:val="00A06FC9"/>
    <w:rsid w:val="00A27F88"/>
    <w:rsid w:val="00A30FB4"/>
    <w:rsid w:val="00A37C3D"/>
    <w:rsid w:val="00A45584"/>
    <w:rsid w:val="00A64626"/>
    <w:rsid w:val="00A72D55"/>
    <w:rsid w:val="00A752AA"/>
    <w:rsid w:val="00A859AB"/>
    <w:rsid w:val="00A86CB5"/>
    <w:rsid w:val="00A90AA8"/>
    <w:rsid w:val="00AA65D4"/>
    <w:rsid w:val="00AB2A70"/>
    <w:rsid w:val="00AB3692"/>
    <w:rsid w:val="00AE083A"/>
    <w:rsid w:val="00AF2664"/>
    <w:rsid w:val="00AF491F"/>
    <w:rsid w:val="00AF5EC6"/>
    <w:rsid w:val="00AF6B94"/>
    <w:rsid w:val="00B36762"/>
    <w:rsid w:val="00BA0739"/>
    <w:rsid w:val="00BC23FC"/>
    <w:rsid w:val="00BC4F85"/>
    <w:rsid w:val="00BD4C1F"/>
    <w:rsid w:val="00BE6E0C"/>
    <w:rsid w:val="00BF743E"/>
    <w:rsid w:val="00C139B0"/>
    <w:rsid w:val="00C14F75"/>
    <w:rsid w:val="00C204C2"/>
    <w:rsid w:val="00C205D2"/>
    <w:rsid w:val="00C21717"/>
    <w:rsid w:val="00C4031C"/>
    <w:rsid w:val="00C44881"/>
    <w:rsid w:val="00C46886"/>
    <w:rsid w:val="00C53C69"/>
    <w:rsid w:val="00C55055"/>
    <w:rsid w:val="00C662FB"/>
    <w:rsid w:val="00C76688"/>
    <w:rsid w:val="00C76AAE"/>
    <w:rsid w:val="00C92C3A"/>
    <w:rsid w:val="00C94EB5"/>
    <w:rsid w:val="00C96B70"/>
    <w:rsid w:val="00CA0C96"/>
    <w:rsid w:val="00CA0F7F"/>
    <w:rsid w:val="00CA5350"/>
    <w:rsid w:val="00CB217B"/>
    <w:rsid w:val="00CB300C"/>
    <w:rsid w:val="00CC6A10"/>
    <w:rsid w:val="00CD4EC2"/>
    <w:rsid w:val="00CE2B0B"/>
    <w:rsid w:val="00CE2EED"/>
    <w:rsid w:val="00CE34C1"/>
    <w:rsid w:val="00CE5493"/>
    <w:rsid w:val="00CE6E5C"/>
    <w:rsid w:val="00D20DEB"/>
    <w:rsid w:val="00D31A9B"/>
    <w:rsid w:val="00D331EC"/>
    <w:rsid w:val="00D5090A"/>
    <w:rsid w:val="00D712E7"/>
    <w:rsid w:val="00D71D8D"/>
    <w:rsid w:val="00D80C58"/>
    <w:rsid w:val="00D84C7A"/>
    <w:rsid w:val="00D9108C"/>
    <w:rsid w:val="00D911FB"/>
    <w:rsid w:val="00DA5CAA"/>
    <w:rsid w:val="00DB19AE"/>
    <w:rsid w:val="00DC37F5"/>
    <w:rsid w:val="00DC386F"/>
    <w:rsid w:val="00DE3550"/>
    <w:rsid w:val="00DE4298"/>
    <w:rsid w:val="00DE78C2"/>
    <w:rsid w:val="00DF4B4E"/>
    <w:rsid w:val="00E03BAA"/>
    <w:rsid w:val="00E11F8A"/>
    <w:rsid w:val="00E12F63"/>
    <w:rsid w:val="00E24686"/>
    <w:rsid w:val="00E26D63"/>
    <w:rsid w:val="00E40961"/>
    <w:rsid w:val="00E54204"/>
    <w:rsid w:val="00E603AA"/>
    <w:rsid w:val="00E64C65"/>
    <w:rsid w:val="00E67EBB"/>
    <w:rsid w:val="00E73077"/>
    <w:rsid w:val="00E73E78"/>
    <w:rsid w:val="00E978E3"/>
    <w:rsid w:val="00EA61B8"/>
    <w:rsid w:val="00EB4742"/>
    <w:rsid w:val="00EC1D73"/>
    <w:rsid w:val="00EC7EB0"/>
    <w:rsid w:val="00EE4E06"/>
    <w:rsid w:val="00EF36E2"/>
    <w:rsid w:val="00EF50AA"/>
    <w:rsid w:val="00F07BC1"/>
    <w:rsid w:val="00F265F5"/>
    <w:rsid w:val="00F31828"/>
    <w:rsid w:val="00F451FA"/>
    <w:rsid w:val="00F46DA4"/>
    <w:rsid w:val="00F472D1"/>
    <w:rsid w:val="00F56F69"/>
    <w:rsid w:val="00F61902"/>
    <w:rsid w:val="00F631D8"/>
    <w:rsid w:val="00F642BD"/>
    <w:rsid w:val="00F73653"/>
    <w:rsid w:val="00F77170"/>
    <w:rsid w:val="00F807E2"/>
    <w:rsid w:val="00FA035E"/>
    <w:rsid w:val="00FA118D"/>
    <w:rsid w:val="00FA58E2"/>
    <w:rsid w:val="00FB5E25"/>
    <w:rsid w:val="00FC0CC1"/>
    <w:rsid w:val="00FC5554"/>
    <w:rsid w:val="00FC6914"/>
    <w:rsid w:val="00FD0913"/>
    <w:rsid w:val="00FD12F3"/>
    <w:rsid w:val="00FD4D55"/>
    <w:rsid w:val="00FE3F73"/>
    <w:rsid w:val="00FF5460"/>
    <w:rsid w:val="065D145E"/>
    <w:rsid w:val="139A7EBE"/>
    <w:rsid w:val="2E83D602"/>
    <w:rsid w:val="6AE270BE"/>
    <w:rsid w:val="6D26DF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EF3DE4"/>
  <w15:chartTrackingRefBased/>
  <w15:docId w15:val="{A54A8E97-A05B-4E34-8D65-6D334CEB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6C0"/>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6977C6"/>
    <w:pPr>
      <w:keepNext/>
      <w:keepLines/>
      <w:spacing w:before="240" w:after="120"/>
      <w:outlineLvl w:val="0"/>
    </w:pPr>
    <w:rPr>
      <w:rFonts w:eastAsiaTheme="majorEastAsia" w:cstheme="majorBidi"/>
      <w:b/>
      <w:sz w:val="34"/>
      <w:szCs w:val="32"/>
    </w:rPr>
  </w:style>
  <w:style w:type="paragraph" w:styleId="Heading2">
    <w:name w:val="heading 2"/>
    <w:basedOn w:val="Normal"/>
    <w:next w:val="Normal"/>
    <w:link w:val="Heading2Char"/>
    <w:uiPriority w:val="9"/>
    <w:unhideWhenUsed/>
    <w:qFormat/>
    <w:rsid w:val="00DC37F5"/>
    <w:pPr>
      <w:keepNext/>
      <w:keepLines/>
      <w:spacing w:before="240" w:after="60"/>
      <w:outlineLvl w:val="1"/>
    </w:pPr>
    <w:rPr>
      <w:rFonts w:eastAsiaTheme="majorEastAsia" w:cs="Arial"/>
      <w:b/>
      <w:sz w:val="30"/>
      <w:szCs w:val="26"/>
    </w:rPr>
  </w:style>
  <w:style w:type="paragraph" w:styleId="Heading3">
    <w:name w:val="heading 3"/>
    <w:basedOn w:val="Normal"/>
    <w:next w:val="Normal"/>
    <w:link w:val="Heading3Char"/>
    <w:uiPriority w:val="9"/>
    <w:unhideWhenUsed/>
    <w:qFormat/>
    <w:rsid w:val="00043F98"/>
    <w:pPr>
      <w:keepNext/>
      <w:keepLines/>
      <w:spacing w:before="240" w:after="60"/>
      <w:outlineLvl w:val="2"/>
    </w:pPr>
    <w:rPr>
      <w:rFonts w:eastAsiaTheme="majorEastAsia" w:cs="Arial"/>
      <w:b/>
      <w:sz w:val="26"/>
    </w:rPr>
  </w:style>
  <w:style w:type="paragraph" w:styleId="Heading4">
    <w:name w:val="heading 4"/>
    <w:basedOn w:val="Normal"/>
    <w:next w:val="Normal"/>
    <w:link w:val="Heading4Char"/>
    <w:uiPriority w:val="9"/>
    <w:unhideWhenUsed/>
    <w:qFormat/>
    <w:rsid w:val="00BF743E"/>
    <w:pPr>
      <w:keepNext/>
      <w:keepLines/>
      <w:spacing w:before="240" w:after="60"/>
      <w:outlineLvl w:val="3"/>
    </w:pPr>
    <w:rPr>
      <w:rFonts w:eastAsiaTheme="majorEastAsia" w:cstheme="majorBidi"/>
      <w:b/>
      <w:iCs/>
      <w:sz w:val="22"/>
    </w:rPr>
  </w:style>
  <w:style w:type="paragraph" w:styleId="Heading5">
    <w:name w:val="heading 5"/>
    <w:basedOn w:val="Normal"/>
    <w:next w:val="Normal"/>
    <w:link w:val="Heading5Char"/>
    <w:uiPriority w:val="9"/>
    <w:semiHidden/>
    <w:unhideWhenUsed/>
    <w:qFormat/>
    <w:rsid w:val="00045D13"/>
    <w:pPr>
      <w:keepNext/>
      <w:keepLines/>
      <w:spacing w:before="40"/>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A96"/>
    <w:pPr>
      <w:tabs>
        <w:tab w:val="center" w:pos="4680"/>
        <w:tab w:val="right" w:pos="9360"/>
      </w:tabs>
    </w:pPr>
    <w:rPr>
      <w:sz w:val="22"/>
    </w:rPr>
  </w:style>
  <w:style w:type="character" w:customStyle="1" w:styleId="HeaderChar">
    <w:name w:val="Header Char"/>
    <w:basedOn w:val="DefaultParagraphFont"/>
    <w:link w:val="Header"/>
    <w:uiPriority w:val="99"/>
    <w:rsid w:val="00670A96"/>
  </w:style>
  <w:style w:type="paragraph" w:styleId="Footer">
    <w:name w:val="footer"/>
    <w:basedOn w:val="Normal"/>
    <w:link w:val="FooterChar"/>
    <w:uiPriority w:val="99"/>
    <w:unhideWhenUsed/>
    <w:rsid w:val="00670A96"/>
    <w:pPr>
      <w:tabs>
        <w:tab w:val="center" w:pos="4680"/>
        <w:tab w:val="right" w:pos="9360"/>
      </w:tabs>
    </w:pPr>
    <w:rPr>
      <w:sz w:val="22"/>
    </w:rPr>
  </w:style>
  <w:style w:type="character" w:customStyle="1" w:styleId="FooterChar">
    <w:name w:val="Footer Char"/>
    <w:basedOn w:val="DefaultParagraphFont"/>
    <w:link w:val="Footer"/>
    <w:uiPriority w:val="99"/>
    <w:rsid w:val="00670A96"/>
  </w:style>
  <w:style w:type="paragraph" w:styleId="NormalWeb">
    <w:name w:val="Normal (Web)"/>
    <w:basedOn w:val="Normal"/>
    <w:uiPriority w:val="99"/>
    <w:unhideWhenUsed/>
    <w:rsid w:val="00202264"/>
    <w:pPr>
      <w:spacing w:before="100" w:beforeAutospacing="1" w:after="100" w:afterAutospacing="1"/>
    </w:pPr>
    <w:rPr>
      <w:sz w:val="22"/>
    </w:rPr>
  </w:style>
  <w:style w:type="character" w:customStyle="1" w:styleId="Heading1Char">
    <w:name w:val="Heading 1 Char"/>
    <w:basedOn w:val="DefaultParagraphFont"/>
    <w:link w:val="Heading1"/>
    <w:uiPriority w:val="9"/>
    <w:rsid w:val="006977C6"/>
    <w:rPr>
      <w:rFonts w:ascii="Arial" w:eastAsiaTheme="majorEastAsia" w:hAnsi="Arial" w:cstheme="majorBidi"/>
      <w:b/>
      <w:sz w:val="34"/>
      <w:szCs w:val="32"/>
    </w:rPr>
  </w:style>
  <w:style w:type="character" w:customStyle="1" w:styleId="Heading2Char">
    <w:name w:val="Heading 2 Char"/>
    <w:basedOn w:val="DefaultParagraphFont"/>
    <w:link w:val="Heading2"/>
    <w:uiPriority w:val="9"/>
    <w:rsid w:val="00DC37F5"/>
    <w:rPr>
      <w:rFonts w:ascii="Arial" w:eastAsiaTheme="majorEastAsia" w:hAnsi="Arial" w:cs="Arial"/>
      <w:b/>
      <w:color w:val="000000" w:themeColor="text1"/>
      <w:sz w:val="30"/>
      <w:szCs w:val="26"/>
    </w:rPr>
  </w:style>
  <w:style w:type="character" w:customStyle="1" w:styleId="Heading3Char">
    <w:name w:val="Heading 3 Char"/>
    <w:basedOn w:val="DefaultParagraphFont"/>
    <w:link w:val="Heading3"/>
    <w:uiPriority w:val="9"/>
    <w:rsid w:val="00043F98"/>
    <w:rPr>
      <w:rFonts w:ascii="Arial" w:eastAsiaTheme="majorEastAsia" w:hAnsi="Arial" w:cs="Arial"/>
      <w:b/>
      <w:color w:val="000000" w:themeColor="text1"/>
      <w:sz w:val="26"/>
      <w:szCs w:val="24"/>
    </w:rPr>
  </w:style>
  <w:style w:type="paragraph" w:styleId="Title">
    <w:name w:val="Title"/>
    <w:basedOn w:val="Normal"/>
    <w:next w:val="Normal"/>
    <w:link w:val="TitleChar"/>
    <w:uiPriority w:val="10"/>
    <w:qFormat/>
    <w:rsid w:val="00060C38"/>
    <w:pPr>
      <w:spacing w:after="240"/>
      <w:contextualSpacing/>
    </w:pPr>
    <w:rPr>
      <w:rFonts w:eastAsiaTheme="majorEastAsia" w:cs="Arial"/>
      <w:b/>
      <w:spacing w:val="-10"/>
      <w:kern w:val="28"/>
      <w:sz w:val="40"/>
      <w:szCs w:val="56"/>
    </w:rPr>
  </w:style>
  <w:style w:type="character" w:customStyle="1" w:styleId="TitleChar">
    <w:name w:val="Title Char"/>
    <w:basedOn w:val="DefaultParagraphFont"/>
    <w:link w:val="Title"/>
    <w:uiPriority w:val="10"/>
    <w:rsid w:val="00060C38"/>
    <w:rPr>
      <w:rFonts w:ascii="Arial" w:eastAsiaTheme="majorEastAsia" w:hAnsi="Arial" w:cs="Arial"/>
      <w:b/>
      <w:color w:val="000000" w:themeColor="text1"/>
      <w:spacing w:val="-10"/>
      <w:kern w:val="28"/>
      <w:sz w:val="40"/>
      <w:szCs w:val="56"/>
    </w:rPr>
  </w:style>
  <w:style w:type="paragraph" w:styleId="ListParagraph">
    <w:name w:val="List Paragraph"/>
    <w:basedOn w:val="Normal"/>
    <w:uiPriority w:val="34"/>
    <w:qFormat/>
    <w:rsid w:val="00202264"/>
    <w:pPr>
      <w:ind w:left="720"/>
      <w:contextualSpacing/>
    </w:pPr>
    <w:rPr>
      <w:rFonts w:cs="Assistant"/>
      <w:color w:val="262626" w:themeColor="text1" w:themeTint="D9"/>
      <w:sz w:val="22"/>
      <w:szCs w:val="21"/>
    </w:rPr>
  </w:style>
  <w:style w:type="character" w:customStyle="1" w:styleId="Heading4Char">
    <w:name w:val="Heading 4 Char"/>
    <w:basedOn w:val="DefaultParagraphFont"/>
    <w:link w:val="Heading4"/>
    <w:uiPriority w:val="9"/>
    <w:rsid w:val="00BF743E"/>
    <w:rPr>
      <w:rFonts w:ascii="Arial" w:eastAsiaTheme="majorEastAsia" w:hAnsi="Arial" w:cstheme="majorBidi"/>
      <w:b/>
      <w:iCs/>
      <w:color w:val="000000" w:themeColor="text1"/>
    </w:rPr>
  </w:style>
  <w:style w:type="character" w:styleId="Hyperlink">
    <w:name w:val="Hyperlink"/>
    <w:basedOn w:val="DefaultParagraphFont"/>
    <w:uiPriority w:val="99"/>
    <w:unhideWhenUsed/>
    <w:rsid w:val="00BF743E"/>
    <w:rPr>
      <w:rFonts w:asciiTheme="minorHAnsi" w:hAnsiTheme="minorHAnsi"/>
      <w:color w:val="2D617D"/>
      <w:sz w:val="22"/>
      <w:u w:val="single"/>
    </w:rPr>
  </w:style>
  <w:style w:type="paragraph" w:styleId="ListBullet">
    <w:name w:val="List Bullet"/>
    <w:basedOn w:val="ListParagraph"/>
    <w:uiPriority w:val="99"/>
    <w:unhideWhenUsed/>
    <w:rsid w:val="00DC37F5"/>
    <w:pPr>
      <w:numPr>
        <w:numId w:val="1"/>
      </w:numPr>
      <w:spacing w:after="60"/>
    </w:pPr>
    <w:rPr>
      <w:color w:val="000000" w:themeColor="text1"/>
    </w:rPr>
  </w:style>
  <w:style w:type="paragraph" w:styleId="ListBullet2">
    <w:name w:val="List Bullet 2"/>
    <w:basedOn w:val="ListParagraph"/>
    <w:uiPriority w:val="99"/>
    <w:unhideWhenUsed/>
    <w:rsid w:val="00DC37F5"/>
    <w:pPr>
      <w:numPr>
        <w:ilvl w:val="1"/>
        <w:numId w:val="1"/>
      </w:numPr>
      <w:spacing w:after="60"/>
    </w:pPr>
    <w:rPr>
      <w:color w:val="000000" w:themeColor="text1"/>
    </w:rPr>
  </w:style>
  <w:style w:type="paragraph" w:styleId="ListNumber">
    <w:name w:val="List Number"/>
    <w:basedOn w:val="ListParagraph"/>
    <w:uiPriority w:val="99"/>
    <w:unhideWhenUsed/>
    <w:rsid w:val="00DC37F5"/>
    <w:pPr>
      <w:numPr>
        <w:numId w:val="2"/>
      </w:numPr>
      <w:spacing w:after="60"/>
    </w:pPr>
    <w:rPr>
      <w:color w:val="000000" w:themeColor="text1"/>
    </w:rPr>
  </w:style>
  <w:style w:type="paragraph" w:styleId="ListNumber2">
    <w:name w:val="List Number 2"/>
    <w:basedOn w:val="ListParagraph"/>
    <w:uiPriority w:val="99"/>
    <w:unhideWhenUsed/>
    <w:rsid w:val="00DC37F5"/>
    <w:pPr>
      <w:numPr>
        <w:ilvl w:val="1"/>
        <w:numId w:val="2"/>
      </w:numPr>
      <w:spacing w:after="60"/>
    </w:pPr>
    <w:rPr>
      <w:color w:val="000000" w:themeColor="text1"/>
    </w:rPr>
  </w:style>
  <w:style w:type="paragraph" w:styleId="FootnoteText">
    <w:name w:val="footnote text"/>
    <w:basedOn w:val="Normal"/>
    <w:link w:val="FootnoteTextChar"/>
    <w:uiPriority w:val="99"/>
    <w:unhideWhenUsed/>
    <w:rsid w:val="00684DD1"/>
    <w:pPr>
      <w:spacing w:line="264" w:lineRule="auto"/>
    </w:pPr>
    <w:rPr>
      <w:rFonts w:eastAsiaTheme="minorEastAsia"/>
      <w:sz w:val="22"/>
      <w:szCs w:val="20"/>
    </w:rPr>
  </w:style>
  <w:style w:type="character" w:customStyle="1" w:styleId="FootnoteTextChar">
    <w:name w:val="Footnote Text Char"/>
    <w:basedOn w:val="DefaultParagraphFont"/>
    <w:link w:val="FootnoteText"/>
    <w:uiPriority w:val="99"/>
    <w:rsid w:val="00684DD1"/>
    <w:rPr>
      <w:rFonts w:eastAsiaTheme="minorEastAsia"/>
      <w:szCs w:val="20"/>
    </w:rPr>
  </w:style>
  <w:style w:type="table" w:customStyle="1" w:styleId="ComagineGreen2">
    <w:name w:val="Comagine Green 2"/>
    <w:basedOn w:val="TableNormal"/>
    <w:uiPriority w:val="99"/>
    <w:rsid w:val="00684DD1"/>
    <w:pPr>
      <w:spacing w:after="0" w:line="240" w:lineRule="auto"/>
    </w:pPr>
    <w:rPr>
      <w:rFonts w:eastAsiaTheme="minorEastAsia"/>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29" w:type="dxa"/>
        <w:left w:w="115" w:type="dxa"/>
        <w:bottom w:w="29" w:type="dxa"/>
        <w:right w:w="115" w:type="dxa"/>
      </w:tblCellMar>
    </w:tblPr>
    <w:tcPr>
      <w:shd w:val="clear" w:color="auto" w:fill="FFFFFF" w:themeFill="background1"/>
    </w:tcPr>
    <w:tblStylePr w:type="firstRow">
      <w:pPr>
        <w:wordWrap/>
        <w:jc w:val="left"/>
      </w:pPr>
      <w:rPr>
        <w:b/>
      </w:rPr>
      <w:tblPr/>
      <w:trPr>
        <w:tblHeader/>
      </w:trPr>
      <w:tcPr>
        <w:shd w:val="clear" w:color="auto" w:fill="4472C4" w:themeFill="accent1"/>
      </w:tcPr>
    </w:tblStylePr>
    <w:tblStylePr w:type="lastRow">
      <w:pPr>
        <w:wordWrap/>
        <w:jc w:val="left"/>
      </w:pPr>
    </w:tblStylePr>
    <w:tblStylePr w:type="firstCol">
      <w:pPr>
        <w:wordWrap/>
        <w:jc w:val="left"/>
      </w:pPr>
    </w:tblStylePr>
    <w:tblStylePr w:type="lastCol">
      <w:pPr>
        <w:wordWrap/>
        <w:jc w:val="left"/>
      </w:pPr>
    </w:tblStylePr>
    <w:tblStylePr w:type="band1Vert">
      <w:pPr>
        <w:wordWrap/>
        <w:jc w:val="left"/>
      </w:pPr>
    </w:tblStylePr>
    <w:tblStylePr w:type="band2Vert">
      <w:pPr>
        <w:wordWrap/>
        <w:jc w:val="left"/>
      </w:pPr>
    </w:tblStylePr>
    <w:tblStylePr w:type="band1Horz">
      <w:pPr>
        <w:wordWrap/>
        <w:contextualSpacing w:val="0"/>
        <w:mirrorIndents w:val="0"/>
        <w:jc w:val="left"/>
      </w:pPr>
    </w:tblStylePr>
    <w:tblStylePr w:type="band2Horz">
      <w:pPr>
        <w:wordWrap/>
        <w:jc w:val="left"/>
      </w:pPr>
      <w:tblPr/>
      <w:tcPr>
        <w:shd w:val="clear" w:color="auto" w:fill="E7E6E6" w:themeFill="background2"/>
      </w:tcPr>
    </w:tblStylePr>
  </w:style>
  <w:style w:type="character" w:styleId="FootnoteReference">
    <w:name w:val="footnote reference"/>
    <w:basedOn w:val="DefaultParagraphFont"/>
    <w:uiPriority w:val="99"/>
    <w:semiHidden/>
    <w:unhideWhenUsed/>
    <w:rsid w:val="00684DD1"/>
    <w:rPr>
      <w:vertAlign w:val="superscript"/>
    </w:rPr>
  </w:style>
  <w:style w:type="table" w:styleId="GridTable4-Accent6">
    <w:name w:val="Grid Table 4 Accent 6"/>
    <w:basedOn w:val="TableNormal"/>
    <w:uiPriority w:val="49"/>
    <w:rsid w:val="005363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
    <w:name w:val="Table Grid"/>
    <w:basedOn w:val="TableNormal"/>
    <w:uiPriority w:val="59"/>
    <w:rsid w:val="0051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2C3A"/>
    <w:rPr>
      <w:color w:val="605E5C"/>
      <w:shd w:val="clear" w:color="auto" w:fill="E1DFDD"/>
    </w:rPr>
  </w:style>
  <w:style w:type="character" w:styleId="FollowedHyperlink">
    <w:name w:val="FollowedHyperlink"/>
    <w:basedOn w:val="DefaultParagraphFont"/>
    <w:uiPriority w:val="99"/>
    <w:semiHidden/>
    <w:unhideWhenUsed/>
    <w:rsid w:val="000B5464"/>
    <w:rPr>
      <w:color w:val="954F72" w:themeColor="followedHyperlink"/>
      <w:u w:val="single"/>
    </w:rPr>
  </w:style>
  <w:style w:type="table" w:styleId="GridTable2">
    <w:name w:val="Grid Table 2"/>
    <w:basedOn w:val="TableNormal"/>
    <w:uiPriority w:val="47"/>
    <w:rsid w:val="00573AD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5">
    <w:name w:val="Grid Table 5 Dark Accent 5"/>
    <w:basedOn w:val="TableNormal"/>
    <w:uiPriority w:val="50"/>
    <w:rsid w:val="00573A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3">
    <w:name w:val="Grid Table 2 Accent 3"/>
    <w:basedOn w:val="TableNormal"/>
    <w:uiPriority w:val="47"/>
    <w:rsid w:val="00573AD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6">
    <w:name w:val="Grid Table 1 Light Accent 6"/>
    <w:basedOn w:val="TableNormal"/>
    <w:uiPriority w:val="46"/>
    <w:rsid w:val="00573AD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Default">
    <w:name w:val="Default"/>
    <w:rsid w:val="00FE3F73"/>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4C5EE8"/>
    <w:rPr>
      <w:sz w:val="16"/>
      <w:szCs w:val="16"/>
    </w:rPr>
  </w:style>
  <w:style w:type="paragraph" w:styleId="CommentText">
    <w:name w:val="annotation text"/>
    <w:basedOn w:val="Normal"/>
    <w:link w:val="CommentTextChar"/>
    <w:uiPriority w:val="99"/>
    <w:semiHidden/>
    <w:unhideWhenUsed/>
    <w:rsid w:val="004C5EE8"/>
    <w:rPr>
      <w:sz w:val="20"/>
      <w:szCs w:val="20"/>
    </w:rPr>
  </w:style>
  <w:style w:type="character" w:customStyle="1" w:styleId="CommentTextChar">
    <w:name w:val="Comment Text Char"/>
    <w:basedOn w:val="DefaultParagraphFont"/>
    <w:link w:val="CommentText"/>
    <w:uiPriority w:val="99"/>
    <w:semiHidden/>
    <w:rsid w:val="004C5E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5EE8"/>
    <w:rPr>
      <w:b/>
      <w:bCs/>
    </w:rPr>
  </w:style>
  <w:style w:type="character" w:customStyle="1" w:styleId="CommentSubjectChar">
    <w:name w:val="Comment Subject Char"/>
    <w:basedOn w:val="CommentTextChar"/>
    <w:link w:val="CommentSubject"/>
    <w:uiPriority w:val="99"/>
    <w:semiHidden/>
    <w:rsid w:val="004C5EE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C5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EE8"/>
    <w:rPr>
      <w:rFonts w:ascii="Segoe UI" w:eastAsia="Times New Roman" w:hAnsi="Segoe UI" w:cs="Segoe UI"/>
      <w:sz w:val="18"/>
      <w:szCs w:val="18"/>
    </w:rPr>
  </w:style>
  <w:style w:type="paragraph" w:styleId="Revision">
    <w:name w:val="Revision"/>
    <w:hidden/>
    <w:uiPriority w:val="99"/>
    <w:semiHidden/>
    <w:rsid w:val="00D71D8D"/>
    <w:pPr>
      <w:spacing w:after="0" w:line="240" w:lineRule="auto"/>
    </w:pPr>
    <w:rPr>
      <w:rFonts w:ascii="Times New Roman" w:eastAsia="Times New Roman" w:hAnsi="Times New Roman" w:cs="Times New Roman"/>
      <w:sz w:val="24"/>
      <w:szCs w:val="24"/>
    </w:rPr>
  </w:style>
  <w:style w:type="character" w:customStyle="1" w:styleId="Hyperlink1">
    <w:name w:val="Hyperlink1"/>
    <w:basedOn w:val="DefaultParagraphFont"/>
    <w:uiPriority w:val="99"/>
    <w:unhideWhenUsed/>
    <w:rsid w:val="00816147"/>
    <w:rPr>
      <w:color w:val="346022"/>
      <w:u w:val="single"/>
    </w:rPr>
  </w:style>
  <w:style w:type="table" w:customStyle="1" w:styleId="GridTable4-Accent11">
    <w:name w:val="Grid Table 4 - Accent 11"/>
    <w:basedOn w:val="TableNormal"/>
    <w:next w:val="GridTable4-Accent1"/>
    <w:uiPriority w:val="49"/>
    <w:rsid w:val="00816147"/>
    <w:pPr>
      <w:spacing w:after="0" w:line="240" w:lineRule="auto"/>
    </w:pPr>
    <w:rPr>
      <w:rFonts w:eastAsia="Times New Roman"/>
    </w:rPr>
    <w:tblPr>
      <w:tblStyleRowBandSize w:val="1"/>
      <w:tblStyleColBandSize w:val="1"/>
      <w:tblBorders>
        <w:top w:val="single" w:sz="4" w:space="0" w:color="A4D890"/>
        <w:left w:val="single" w:sz="4" w:space="0" w:color="A4D890"/>
        <w:bottom w:val="single" w:sz="4" w:space="0" w:color="A4D890"/>
        <w:right w:val="single" w:sz="4" w:space="0" w:color="A4D890"/>
        <w:insideH w:val="single" w:sz="4" w:space="0" w:color="A4D890"/>
        <w:insideV w:val="single" w:sz="4" w:space="0" w:color="A4D890"/>
      </w:tblBorders>
    </w:tblPr>
    <w:tblStylePr w:type="firstRow">
      <w:rPr>
        <w:b/>
        <w:bCs/>
        <w:color w:val="FFFFFF"/>
      </w:rPr>
      <w:tblPr/>
      <w:tcPr>
        <w:tcBorders>
          <w:top w:val="single" w:sz="4" w:space="0" w:color="69BE46"/>
          <w:left w:val="single" w:sz="4" w:space="0" w:color="69BE46"/>
          <w:bottom w:val="single" w:sz="4" w:space="0" w:color="69BE46"/>
          <w:right w:val="single" w:sz="4" w:space="0" w:color="69BE46"/>
          <w:insideH w:val="nil"/>
          <w:insideV w:val="nil"/>
        </w:tcBorders>
        <w:shd w:val="clear" w:color="auto" w:fill="69BE46"/>
      </w:tcPr>
    </w:tblStylePr>
    <w:tblStylePr w:type="lastRow">
      <w:rPr>
        <w:b/>
        <w:bCs/>
      </w:rPr>
      <w:tblPr/>
      <w:tcPr>
        <w:tcBorders>
          <w:top w:val="double" w:sz="4" w:space="0" w:color="69BE46"/>
        </w:tcBorders>
      </w:tcPr>
    </w:tblStylePr>
    <w:tblStylePr w:type="firstCol">
      <w:rPr>
        <w:b/>
        <w:bCs/>
      </w:rPr>
    </w:tblStylePr>
    <w:tblStylePr w:type="lastCol">
      <w:rPr>
        <w:b/>
        <w:bCs/>
      </w:rPr>
    </w:tblStylePr>
    <w:tblStylePr w:type="band1Vert">
      <w:tblPr/>
      <w:tcPr>
        <w:shd w:val="clear" w:color="auto" w:fill="E0F2DA"/>
      </w:tcPr>
    </w:tblStylePr>
    <w:tblStylePr w:type="band1Horz">
      <w:tblPr/>
      <w:tcPr>
        <w:shd w:val="clear" w:color="auto" w:fill="E0F2DA"/>
      </w:tcPr>
    </w:tblStylePr>
  </w:style>
  <w:style w:type="table" w:styleId="GridTable4-Accent1">
    <w:name w:val="Grid Table 4 Accent 1"/>
    <w:basedOn w:val="TableNormal"/>
    <w:uiPriority w:val="49"/>
    <w:rsid w:val="008161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
    <w:name w:val="Table Grid1"/>
    <w:basedOn w:val="TableNormal"/>
    <w:next w:val="TableGrid"/>
    <w:uiPriority w:val="59"/>
    <w:rsid w:val="00507C2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08C3"/>
    <w:rPr>
      <w:b/>
      <w:bCs/>
    </w:rPr>
  </w:style>
  <w:style w:type="paragraph" w:customStyle="1" w:styleId="Style1">
    <w:name w:val="Style1"/>
    <w:basedOn w:val="Heading1"/>
    <w:qFormat/>
    <w:rsid w:val="00BC23FC"/>
  </w:style>
  <w:style w:type="paragraph" w:styleId="TOC1">
    <w:name w:val="toc 1"/>
    <w:basedOn w:val="Normal"/>
    <w:next w:val="Normal"/>
    <w:autoRedefine/>
    <w:uiPriority w:val="39"/>
    <w:unhideWhenUsed/>
    <w:rsid w:val="00024C70"/>
    <w:pPr>
      <w:spacing w:before="120"/>
    </w:pPr>
    <w:rPr>
      <w:rFonts w:cstheme="minorHAnsi"/>
      <w:bCs/>
      <w:iCs/>
    </w:rPr>
  </w:style>
  <w:style w:type="paragraph" w:styleId="TOC2">
    <w:name w:val="toc 2"/>
    <w:basedOn w:val="Normal"/>
    <w:next w:val="Normal"/>
    <w:autoRedefine/>
    <w:uiPriority w:val="39"/>
    <w:unhideWhenUsed/>
    <w:rsid w:val="00024C70"/>
    <w:pPr>
      <w:spacing w:before="120"/>
      <w:ind w:left="240"/>
    </w:pPr>
    <w:rPr>
      <w:rFonts w:cstheme="minorHAnsi"/>
      <w:bCs/>
      <w:sz w:val="22"/>
      <w:szCs w:val="22"/>
    </w:rPr>
  </w:style>
  <w:style w:type="character" w:customStyle="1" w:styleId="Heading5Char">
    <w:name w:val="Heading 5 Char"/>
    <w:basedOn w:val="DefaultParagraphFont"/>
    <w:link w:val="Heading5"/>
    <w:uiPriority w:val="9"/>
    <w:semiHidden/>
    <w:rsid w:val="00045D13"/>
    <w:rPr>
      <w:rFonts w:asciiTheme="majorHAnsi" w:eastAsiaTheme="majorEastAsia" w:hAnsiTheme="majorHAnsi" w:cstheme="majorBidi"/>
      <w:color w:val="2F5496" w:themeColor="accent1" w:themeShade="BF"/>
      <w:szCs w:val="24"/>
    </w:rPr>
  </w:style>
  <w:style w:type="character" w:styleId="Emphasis">
    <w:name w:val="Emphasis"/>
    <w:basedOn w:val="DefaultParagraphFont"/>
    <w:uiPriority w:val="20"/>
    <w:qFormat/>
    <w:rsid w:val="009B1481"/>
    <w:rPr>
      <w:i/>
      <w:iCs/>
    </w:rPr>
  </w:style>
  <w:style w:type="character" w:customStyle="1" w:styleId="al-author-delim">
    <w:name w:val="al-author-delim"/>
    <w:basedOn w:val="DefaultParagraphFont"/>
    <w:rsid w:val="00A859AB"/>
  </w:style>
  <w:style w:type="character" w:customStyle="1" w:styleId="label">
    <w:name w:val="label"/>
    <w:basedOn w:val="DefaultParagraphFont"/>
    <w:rsid w:val="008816C0"/>
  </w:style>
  <w:style w:type="paragraph" w:styleId="TOCHeading">
    <w:name w:val="TOC Heading"/>
    <w:basedOn w:val="Heading1"/>
    <w:next w:val="Normal"/>
    <w:uiPriority w:val="39"/>
    <w:unhideWhenUsed/>
    <w:qFormat/>
    <w:rsid w:val="00777467"/>
    <w:pPr>
      <w:spacing w:before="480" w:after="0" w:line="276" w:lineRule="auto"/>
      <w:outlineLvl w:val="9"/>
    </w:pPr>
    <w:rPr>
      <w:rFonts w:asciiTheme="majorHAnsi" w:hAnsiTheme="majorHAnsi"/>
      <w:bCs/>
      <w:color w:val="2F5496" w:themeColor="accent1" w:themeShade="BF"/>
      <w:sz w:val="28"/>
      <w:szCs w:val="28"/>
    </w:rPr>
  </w:style>
  <w:style w:type="paragraph" w:styleId="TOC3">
    <w:name w:val="toc 3"/>
    <w:basedOn w:val="Normal"/>
    <w:next w:val="Normal"/>
    <w:autoRedefine/>
    <w:uiPriority w:val="39"/>
    <w:semiHidden/>
    <w:unhideWhenUsed/>
    <w:rsid w:val="0077746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7746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7746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7746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7746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7746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77467"/>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8513">
      <w:bodyDiv w:val="1"/>
      <w:marLeft w:val="0"/>
      <w:marRight w:val="0"/>
      <w:marTop w:val="0"/>
      <w:marBottom w:val="0"/>
      <w:divBdr>
        <w:top w:val="none" w:sz="0" w:space="0" w:color="auto"/>
        <w:left w:val="none" w:sz="0" w:space="0" w:color="auto"/>
        <w:bottom w:val="none" w:sz="0" w:space="0" w:color="auto"/>
        <w:right w:val="none" w:sz="0" w:space="0" w:color="auto"/>
      </w:divBdr>
    </w:div>
    <w:div w:id="121273151">
      <w:bodyDiv w:val="1"/>
      <w:marLeft w:val="0"/>
      <w:marRight w:val="0"/>
      <w:marTop w:val="0"/>
      <w:marBottom w:val="0"/>
      <w:divBdr>
        <w:top w:val="none" w:sz="0" w:space="0" w:color="auto"/>
        <w:left w:val="none" w:sz="0" w:space="0" w:color="auto"/>
        <w:bottom w:val="none" w:sz="0" w:space="0" w:color="auto"/>
        <w:right w:val="none" w:sz="0" w:space="0" w:color="auto"/>
      </w:divBdr>
      <w:divsChild>
        <w:div w:id="163782538">
          <w:marLeft w:val="0"/>
          <w:marRight w:val="0"/>
          <w:marTop w:val="0"/>
          <w:marBottom w:val="0"/>
          <w:divBdr>
            <w:top w:val="none" w:sz="0" w:space="0" w:color="auto"/>
            <w:left w:val="none" w:sz="0" w:space="0" w:color="auto"/>
            <w:bottom w:val="none" w:sz="0" w:space="0" w:color="auto"/>
            <w:right w:val="none" w:sz="0" w:space="0" w:color="auto"/>
          </w:divBdr>
          <w:divsChild>
            <w:div w:id="15472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0537">
      <w:bodyDiv w:val="1"/>
      <w:marLeft w:val="0"/>
      <w:marRight w:val="0"/>
      <w:marTop w:val="0"/>
      <w:marBottom w:val="0"/>
      <w:divBdr>
        <w:top w:val="none" w:sz="0" w:space="0" w:color="auto"/>
        <w:left w:val="none" w:sz="0" w:space="0" w:color="auto"/>
        <w:bottom w:val="none" w:sz="0" w:space="0" w:color="auto"/>
        <w:right w:val="none" w:sz="0" w:space="0" w:color="auto"/>
      </w:divBdr>
    </w:div>
    <w:div w:id="179927548">
      <w:bodyDiv w:val="1"/>
      <w:marLeft w:val="0"/>
      <w:marRight w:val="0"/>
      <w:marTop w:val="0"/>
      <w:marBottom w:val="0"/>
      <w:divBdr>
        <w:top w:val="none" w:sz="0" w:space="0" w:color="auto"/>
        <w:left w:val="none" w:sz="0" w:space="0" w:color="auto"/>
        <w:bottom w:val="none" w:sz="0" w:space="0" w:color="auto"/>
        <w:right w:val="none" w:sz="0" w:space="0" w:color="auto"/>
      </w:divBdr>
    </w:div>
    <w:div w:id="256835625">
      <w:bodyDiv w:val="1"/>
      <w:marLeft w:val="0"/>
      <w:marRight w:val="0"/>
      <w:marTop w:val="0"/>
      <w:marBottom w:val="0"/>
      <w:divBdr>
        <w:top w:val="none" w:sz="0" w:space="0" w:color="auto"/>
        <w:left w:val="none" w:sz="0" w:space="0" w:color="auto"/>
        <w:bottom w:val="none" w:sz="0" w:space="0" w:color="auto"/>
        <w:right w:val="none" w:sz="0" w:space="0" w:color="auto"/>
      </w:divBdr>
    </w:div>
    <w:div w:id="344946550">
      <w:bodyDiv w:val="1"/>
      <w:marLeft w:val="0"/>
      <w:marRight w:val="0"/>
      <w:marTop w:val="0"/>
      <w:marBottom w:val="0"/>
      <w:divBdr>
        <w:top w:val="none" w:sz="0" w:space="0" w:color="auto"/>
        <w:left w:val="none" w:sz="0" w:space="0" w:color="auto"/>
        <w:bottom w:val="none" w:sz="0" w:space="0" w:color="auto"/>
        <w:right w:val="none" w:sz="0" w:space="0" w:color="auto"/>
      </w:divBdr>
    </w:div>
    <w:div w:id="472914358">
      <w:bodyDiv w:val="1"/>
      <w:marLeft w:val="0"/>
      <w:marRight w:val="0"/>
      <w:marTop w:val="0"/>
      <w:marBottom w:val="0"/>
      <w:divBdr>
        <w:top w:val="none" w:sz="0" w:space="0" w:color="auto"/>
        <w:left w:val="none" w:sz="0" w:space="0" w:color="auto"/>
        <w:bottom w:val="none" w:sz="0" w:space="0" w:color="auto"/>
        <w:right w:val="none" w:sz="0" w:space="0" w:color="auto"/>
      </w:divBdr>
    </w:div>
    <w:div w:id="525681958">
      <w:bodyDiv w:val="1"/>
      <w:marLeft w:val="0"/>
      <w:marRight w:val="0"/>
      <w:marTop w:val="0"/>
      <w:marBottom w:val="0"/>
      <w:divBdr>
        <w:top w:val="none" w:sz="0" w:space="0" w:color="auto"/>
        <w:left w:val="none" w:sz="0" w:space="0" w:color="auto"/>
        <w:bottom w:val="none" w:sz="0" w:space="0" w:color="auto"/>
        <w:right w:val="none" w:sz="0" w:space="0" w:color="auto"/>
      </w:divBdr>
    </w:div>
    <w:div w:id="583077640">
      <w:bodyDiv w:val="1"/>
      <w:marLeft w:val="0"/>
      <w:marRight w:val="0"/>
      <w:marTop w:val="0"/>
      <w:marBottom w:val="0"/>
      <w:divBdr>
        <w:top w:val="none" w:sz="0" w:space="0" w:color="auto"/>
        <w:left w:val="none" w:sz="0" w:space="0" w:color="auto"/>
        <w:bottom w:val="none" w:sz="0" w:space="0" w:color="auto"/>
        <w:right w:val="none" w:sz="0" w:space="0" w:color="auto"/>
      </w:divBdr>
    </w:div>
    <w:div w:id="585071311">
      <w:bodyDiv w:val="1"/>
      <w:marLeft w:val="0"/>
      <w:marRight w:val="0"/>
      <w:marTop w:val="0"/>
      <w:marBottom w:val="0"/>
      <w:divBdr>
        <w:top w:val="none" w:sz="0" w:space="0" w:color="auto"/>
        <w:left w:val="none" w:sz="0" w:space="0" w:color="auto"/>
        <w:bottom w:val="none" w:sz="0" w:space="0" w:color="auto"/>
        <w:right w:val="none" w:sz="0" w:space="0" w:color="auto"/>
      </w:divBdr>
      <w:divsChild>
        <w:div w:id="541669244">
          <w:marLeft w:val="0"/>
          <w:marRight w:val="0"/>
          <w:marTop w:val="0"/>
          <w:marBottom w:val="0"/>
          <w:divBdr>
            <w:top w:val="none" w:sz="0" w:space="0" w:color="auto"/>
            <w:left w:val="none" w:sz="0" w:space="0" w:color="auto"/>
            <w:bottom w:val="none" w:sz="0" w:space="0" w:color="auto"/>
            <w:right w:val="none" w:sz="0" w:space="0" w:color="auto"/>
          </w:divBdr>
          <w:divsChild>
            <w:div w:id="11523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98036">
      <w:bodyDiv w:val="1"/>
      <w:marLeft w:val="0"/>
      <w:marRight w:val="0"/>
      <w:marTop w:val="0"/>
      <w:marBottom w:val="0"/>
      <w:divBdr>
        <w:top w:val="none" w:sz="0" w:space="0" w:color="auto"/>
        <w:left w:val="none" w:sz="0" w:space="0" w:color="auto"/>
        <w:bottom w:val="none" w:sz="0" w:space="0" w:color="auto"/>
        <w:right w:val="none" w:sz="0" w:space="0" w:color="auto"/>
      </w:divBdr>
    </w:div>
    <w:div w:id="699548566">
      <w:bodyDiv w:val="1"/>
      <w:marLeft w:val="0"/>
      <w:marRight w:val="0"/>
      <w:marTop w:val="0"/>
      <w:marBottom w:val="0"/>
      <w:divBdr>
        <w:top w:val="none" w:sz="0" w:space="0" w:color="auto"/>
        <w:left w:val="none" w:sz="0" w:space="0" w:color="auto"/>
        <w:bottom w:val="none" w:sz="0" w:space="0" w:color="auto"/>
        <w:right w:val="none" w:sz="0" w:space="0" w:color="auto"/>
      </w:divBdr>
      <w:divsChild>
        <w:div w:id="1787653612">
          <w:marLeft w:val="0"/>
          <w:marRight w:val="0"/>
          <w:marTop w:val="0"/>
          <w:marBottom w:val="0"/>
          <w:divBdr>
            <w:top w:val="none" w:sz="0" w:space="0" w:color="auto"/>
            <w:left w:val="none" w:sz="0" w:space="0" w:color="auto"/>
            <w:bottom w:val="none" w:sz="0" w:space="0" w:color="auto"/>
            <w:right w:val="none" w:sz="0" w:space="0" w:color="auto"/>
          </w:divBdr>
        </w:div>
      </w:divsChild>
    </w:div>
    <w:div w:id="703335631">
      <w:bodyDiv w:val="1"/>
      <w:marLeft w:val="0"/>
      <w:marRight w:val="0"/>
      <w:marTop w:val="0"/>
      <w:marBottom w:val="0"/>
      <w:divBdr>
        <w:top w:val="none" w:sz="0" w:space="0" w:color="auto"/>
        <w:left w:val="none" w:sz="0" w:space="0" w:color="auto"/>
        <w:bottom w:val="none" w:sz="0" w:space="0" w:color="auto"/>
        <w:right w:val="none" w:sz="0" w:space="0" w:color="auto"/>
      </w:divBdr>
    </w:div>
    <w:div w:id="756168011">
      <w:bodyDiv w:val="1"/>
      <w:marLeft w:val="0"/>
      <w:marRight w:val="0"/>
      <w:marTop w:val="0"/>
      <w:marBottom w:val="0"/>
      <w:divBdr>
        <w:top w:val="none" w:sz="0" w:space="0" w:color="auto"/>
        <w:left w:val="none" w:sz="0" w:space="0" w:color="auto"/>
        <w:bottom w:val="none" w:sz="0" w:space="0" w:color="auto"/>
        <w:right w:val="none" w:sz="0" w:space="0" w:color="auto"/>
      </w:divBdr>
    </w:div>
    <w:div w:id="876507730">
      <w:bodyDiv w:val="1"/>
      <w:marLeft w:val="0"/>
      <w:marRight w:val="0"/>
      <w:marTop w:val="0"/>
      <w:marBottom w:val="0"/>
      <w:divBdr>
        <w:top w:val="none" w:sz="0" w:space="0" w:color="auto"/>
        <w:left w:val="none" w:sz="0" w:space="0" w:color="auto"/>
        <w:bottom w:val="none" w:sz="0" w:space="0" w:color="auto"/>
        <w:right w:val="none" w:sz="0" w:space="0" w:color="auto"/>
      </w:divBdr>
    </w:div>
    <w:div w:id="897979716">
      <w:bodyDiv w:val="1"/>
      <w:marLeft w:val="0"/>
      <w:marRight w:val="0"/>
      <w:marTop w:val="0"/>
      <w:marBottom w:val="0"/>
      <w:divBdr>
        <w:top w:val="none" w:sz="0" w:space="0" w:color="auto"/>
        <w:left w:val="none" w:sz="0" w:space="0" w:color="auto"/>
        <w:bottom w:val="none" w:sz="0" w:space="0" w:color="auto"/>
        <w:right w:val="none" w:sz="0" w:space="0" w:color="auto"/>
      </w:divBdr>
      <w:divsChild>
        <w:div w:id="27533303">
          <w:marLeft w:val="360"/>
          <w:marRight w:val="0"/>
          <w:marTop w:val="200"/>
          <w:marBottom w:val="0"/>
          <w:divBdr>
            <w:top w:val="none" w:sz="0" w:space="0" w:color="auto"/>
            <w:left w:val="none" w:sz="0" w:space="0" w:color="auto"/>
            <w:bottom w:val="none" w:sz="0" w:space="0" w:color="auto"/>
            <w:right w:val="none" w:sz="0" w:space="0" w:color="auto"/>
          </w:divBdr>
        </w:div>
        <w:div w:id="303509743">
          <w:marLeft w:val="360"/>
          <w:marRight w:val="0"/>
          <w:marTop w:val="200"/>
          <w:marBottom w:val="0"/>
          <w:divBdr>
            <w:top w:val="none" w:sz="0" w:space="0" w:color="auto"/>
            <w:left w:val="none" w:sz="0" w:space="0" w:color="auto"/>
            <w:bottom w:val="none" w:sz="0" w:space="0" w:color="auto"/>
            <w:right w:val="none" w:sz="0" w:space="0" w:color="auto"/>
          </w:divBdr>
        </w:div>
        <w:div w:id="446239054">
          <w:marLeft w:val="1080"/>
          <w:marRight w:val="0"/>
          <w:marTop w:val="100"/>
          <w:marBottom w:val="0"/>
          <w:divBdr>
            <w:top w:val="none" w:sz="0" w:space="0" w:color="auto"/>
            <w:left w:val="none" w:sz="0" w:space="0" w:color="auto"/>
            <w:bottom w:val="none" w:sz="0" w:space="0" w:color="auto"/>
            <w:right w:val="none" w:sz="0" w:space="0" w:color="auto"/>
          </w:divBdr>
        </w:div>
        <w:div w:id="706487693">
          <w:marLeft w:val="1080"/>
          <w:marRight w:val="0"/>
          <w:marTop w:val="100"/>
          <w:marBottom w:val="0"/>
          <w:divBdr>
            <w:top w:val="none" w:sz="0" w:space="0" w:color="auto"/>
            <w:left w:val="none" w:sz="0" w:space="0" w:color="auto"/>
            <w:bottom w:val="none" w:sz="0" w:space="0" w:color="auto"/>
            <w:right w:val="none" w:sz="0" w:space="0" w:color="auto"/>
          </w:divBdr>
        </w:div>
        <w:div w:id="761025268">
          <w:marLeft w:val="1080"/>
          <w:marRight w:val="0"/>
          <w:marTop w:val="100"/>
          <w:marBottom w:val="0"/>
          <w:divBdr>
            <w:top w:val="none" w:sz="0" w:space="0" w:color="auto"/>
            <w:left w:val="none" w:sz="0" w:space="0" w:color="auto"/>
            <w:bottom w:val="none" w:sz="0" w:space="0" w:color="auto"/>
            <w:right w:val="none" w:sz="0" w:space="0" w:color="auto"/>
          </w:divBdr>
        </w:div>
        <w:div w:id="1323704372">
          <w:marLeft w:val="1080"/>
          <w:marRight w:val="0"/>
          <w:marTop w:val="100"/>
          <w:marBottom w:val="0"/>
          <w:divBdr>
            <w:top w:val="none" w:sz="0" w:space="0" w:color="auto"/>
            <w:left w:val="none" w:sz="0" w:space="0" w:color="auto"/>
            <w:bottom w:val="none" w:sz="0" w:space="0" w:color="auto"/>
            <w:right w:val="none" w:sz="0" w:space="0" w:color="auto"/>
          </w:divBdr>
        </w:div>
        <w:div w:id="1678654012">
          <w:marLeft w:val="360"/>
          <w:marRight w:val="0"/>
          <w:marTop w:val="200"/>
          <w:marBottom w:val="0"/>
          <w:divBdr>
            <w:top w:val="none" w:sz="0" w:space="0" w:color="auto"/>
            <w:left w:val="none" w:sz="0" w:space="0" w:color="auto"/>
            <w:bottom w:val="none" w:sz="0" w:space="0" w:color="auto"/>
            <w:right w:val="none" w:sz="0" w:space="0" w:color="auto"/>
          </w:divBdr>
        </w:div>
        <w:div w:id="2074112810">
          <w:marLeft w:val="360"/>
          <w:marRight w:val="0"/>
          <w:marTop w:val="200"/>
          <w:marBottom w:val="0"/>
          <w:divBdr>
            <w:top w:val="none" w:sz="0" w:space="0" w:color="auto"/>
            <w:left w:val="none" w:sz="0" w:space="0" w:color="auto"/>
            <w:bottom w:val="none" w:sz="0" w:space="0" w:color="auto"/>
            <w:right w:val="none" w:sz="0" w:space="0" w:color="auto"/>
          </w:divBdr>
        </w:div>
      </w:divsChild>
    </w:div>
    <w:div w:id="920213792">
      <w:bodyDiv w:val="1"/>
      <w:marLeft w:val="0"/>
      <w:marRight w:val="0"/>
      <w:marTop w:val="0"/>
      <w:marBottom w:val="0"/>
      <w:divBdr>
        <w:top w:val="none" w:sz="0" w:space="0" w:color="auto"/>
        <w:left w:val="none" w:sz="0" w:space="0" w:color="auto"/>
        <w:bottom w:val="none" w:sz="0" w:space="0" w:color="auto"/>
        <w:right w:val="none" w:sz="0" w:space="0" w:color="auto"/>
      </w:divBdr>
    </w:div>
    <w:div w:id="1261916865">
      <w:bodyDiv w:val="1"/>
      <w:marLeft w:val="0"/>
      <w:marRight w:val="0"/>
      <w:marTop w:val="0"/>
      <w:marBottom w:val="0"/>
      <w:divBdr>
        <w:top w:val="none" w:sz="0" w:space="0" w:color="auto"/>
        <w:left w:val="none" w:sz="0" w:space="0" w:color="auto"/>
        <w:bottom w:val="none" w:sz="0" w:space="0" w:color="auto"/>
        <w:right w:val="none" w:sz="0" w:space="0" w:color="auto"/>
      </w:divBdr>
      <w:divsChild>
        <w:div w:id="278882075">
          <w:marLeft w:val="360"/>
          <w:marRight w:val="0"/>
          <w:marTop w:val="200"/>
          <w:marBottom w:val="0"/>
          <w:divBdr>
            <w:top w:val="none" w:sz="0" w:space="0" w:color="auto"/>
            <w:left w:val="none" w:sz="0" w:space="0" w:color="auto"/>
            <w:bottom w:val="none" w:sz="0" w:space="0" w:color="auto"/>
            <w:right w:val="none" w:sz="0" w:space="0" w:color="auto"/>
          </w:divBdr>
        </w:div>
        <w:div w:id="642778912">
          <w:marLeft w:val="360"/>
          <w:marRight w:val="0"/>
          <w:marTop w:val="200"/>
          <w:marBottom w:val="0"/>
          <w:divBdr>
            <w:top w:val="none" w:sz="0" w:space="0" w:color="auto"/>
            <w:left w:val="none" w:sz="0" w:space="0" w:color="auto"/>
            <w:bottom w:val="none" w:sz="0" w:space="0" w:color="auto"/>
            <w:right w:val="none" w:sz="0" w:space="0" w:color="auto"/>
          </w:divBdr>
        </w:div>
        <w:div w:id="858349814">
          <w:marLeft w:val="360"/>
          <w:marRight w:val="0"/>
          <w:marTop w:val="200"/>
          <w:marBottom w:val="0"/>
          <w:divBdr>
            <w:top w:val="none" w:sz="0" w:space="0" w:color="auto"/>
            <w:left w:val="none" w:sz="0" w:space="0" w:color="auto"/>
            <w:bottom w:val="none" w:sz="0" w:space="0" w:color="auto"/>
            <w:right w:val="none" w:sz="0" w:space="0" w:color="auto"/>
          </w:divBdr>
        </w:div>
        <w:div w:id="1007903672">
          <w:marLeft w:val="360"/>
          <w:marRight w:val="0"/>
          <w:marTop w:val="200"/>
          <w:marBottom w:val="0"/>
          <w:divBdr>
            <w:top w:val="none" w:sz="0" w:space="0" w:color="auto"/>
            <w:left w:val="none" w:sz="0" w:space="0" w:color="auto"/>
            <w:bottom w:val="none" w:sz="0" w:space="0" w:color="auto"/>
            <w:right w:val="none" w:sz="0" w:space="0" w:color="auto"/>
          </w:divBdr>
        </w:div>
        <w:div w:id="1623800048">
          <w:marLeft w:val="360"/>
          <w:marRight w:val="0"/>
          <w:marTop w:val="200"/>
          <w:marBottom w:val="0"/>
          <w:divBdr>
            <w:top w:val="none" w:sz="0" w:space="0" w:color="auto"/>
            <w:left w:val="none" w:sz="0" w:space="0" w:color="auto"/>
            <w:bottom w:val="none" w:sz="0" w:space="0" w:color="auto"/>
            <w:right w:val="none" w:sz="0" w:space="0" w:color="auto"/>
          </w:divBdr>
        </w:div>
        <w:div w:id="1625193901">
          <w:marLeft w:val="360"/>
          <w:marRight w:val="0"/>
          <w:marTop w:val="200"/>
          <w:marBottom w:val="0"/>
          <w:divBdr>
            <w:top w:val="none" w:sz="0" w:space="0" w:color="auto"/>
            <w:left w:val="none" w:sz="0" w:space="0" w:color="auto"/>
            <w:bottom w:val="none" w:sz="0" w:space="0" w:color="auto"/>
            <w:right w:val="none" w:sz="0" w:space="0" w:color="auto"/>
          </w:divBdr>
        </w:div>
        <w:div w:id="1779177846">
          <w:marLeft w:val="360"/>
          <w:marRight w:val="0"/>
          <w:marTop w:val="200"/>
          <w:marBottom w:val="0"/>
          <w:divBdr>
            <w:top w:val="none" w:sz="0" w:space="0" w:color="auto"/>
            <w:left w:val="none" w:sz="0" w:space="0" w:color="auto"/>
            <w:bottom w:val="none" w:sz="0" w:space="0" w:color="auto"/>
            <w:right w:val="none" w:sz="0" w:space="0" w:color="auto"/>
          </w:divBdr>
        </w:div>
      </w:divsChild>
    </w:div>
    <w:div w:id="1319460844">
      <w:bodyDiv w:val="1"/>
      <w:marLeft w:val="0"/>
      <w:marRight w:val="0"/>
      <w:marTop w:val="0"/>
      <w:marBottom w:val="0"/>
      <w:divBdr>
        <w:top w:val="none" w:sz="0" w:space="0" w:color="auto"/>
        <w:left w:val="none" w:sz="0" w:space="0" w:color="auto"/>
        <w:bottom w:val="none" w:sz="0" w:space="0" w:color="auto"/>
        <w:right w:val="none" w:sz="0" w:space="0" w:color="auto"/>
      </w:divBdr>
      <w:divsChild>
        <w:div w:id="1900313824">
          <w:marLeft w:val="0"/>
          <w:marRight w:val="0"/>
          <w:marTop w:val="0"/>
          <w:marBottom w:val="0"/>
          <w:divBdr>
            <w:top w:val="none" w:sz="0" w:space="0" w:color="auto"/>
            <w:left w:val="none" w:sz="0" w:space="0" w:color="auto"/>
            <w:bottom w:val="none" w:sz="0" w:space="0" w:color="auto"/>
            <w:right w:val="none" w:sz="0" w:space="0" w:color="auto"/>
          </w:divBdr>
          <w:divsChild>
            <w:div w:id="825360764">
              <w:marLeft w:val="0"/>
              <w:marRight w:val="0"/>
              <w:marTop w:val="0"/>
              <w:marBottom w:val="0"/>
              <w:divBdr>
                <w:top w:val="none" w:sz="0" w:space="0" w:color="auto"/>
                <w:left w:val="none" w:sz="0" w:space="0" w:color="auto"/>
                <w:bottom w:val="none" w:sz="0" w:space="0" w:color="auto"/>
                <w:right w:val="none" w:sz="0" w:space="0" w:color="auto"/>
              </w:divBdr>
              <w:divsChild>
                <w:div w:id="234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75843">
      <w:bodyDiv w:val="1"/>
      <w:marLeft w:val="0"/>
      <w:marRight w:val="0"/>
      <w:marTop w:val="0"/>
      <w:marBottom w:val="0"/>
      <w:divBdr>
        <w:top w:val="none" w:sz="0" w:space="0" w:color="auto"/>
        <w:left w:val="none" w:sz="0" w:space="0" w:color="auto"/>
        <w:bottom w:val="none" w:sz="0" w:space="0" w:color="auto"/>
        <w:right w:val="none" w:sz="0" w:space="0" w:color="auto"/>
      </w:divBdr>
    </w:div>
    <w:div w:id="1400664463">
      <w:bodyDiv w:val="1"/>
      <w:marLeft w:val="0"/>
      <w:marRight w:val="0"/>
      <w:marTop w:val="0"/>
      <w:marBottom w:val="0"/>
      <w:divBdr>
        <w:top w:val="none" w:sz="0" w:space="0" w:color="auto"/>
        <w:left w:val="none" w:sz="0" w:space="0" w:color="auto"/>
        <w:bottom w:val="none" w:sz="0" w:space="0" w:color="auto"/>
        <w:right w:val="none" w:sz="0" w:space="0" w:color="auto"/>
      </w:divBdr>
      <w:divsChild>
        <w:div w:id="266498340">
          <w:marLeft w:val="360"/>
          <w:marRight w:val="0"/>
          <w:marTop w:val="0"/>
          <w:marBottom w:val="0"/>
          <w:divBdr>
            <w:top w:val="none" w:sz="0" w:space="0" w:color="auto"/>
            <w:left w:val="none" w:sz="0" w:space="0" w:color="auto"/>
            <w:bottom w:val="none" w:sz="0" w:space="0" w:color="auto"/>
            <w:right w:val="none" w:sz="0" w:space="0" w:color="auto"/>
          </w:divBdr>
        </w:div>
        <w:div w:id="897861542">
          <w:marLeft w:val="360"/>
          <w:marRight w:val="0"/>
          <w:marTop w:val="0"/>
          <w:marBottom w:val="0"/>
          <w:divBdr>
            <w:top w:val="none" w:sz="0" w:space="0" w:color="auto"/>
            <w:left w:val="none" w:sz="0" w:space="0" w:color="auto"/>
            <w:bottom w:val="none" w:sz="0" w:space="0" w:color="auto"/>
            <w:right w:val="none" w:sz="0" w:space="0" w:color="auto"/>
          </w:divBdr>
        </w:div>
      </w:divsChild>
    </w:div>
    <w:div w:id="1467115708">
      <w:bodyDiv w:val="1"/>
      <w:marLeft w:val="0"/>
      <w:marRight w:val="0"/>
      <w:marTop w:val="0"/>
      <w:marBottom w:val="0"/>
      <w:divBdr>
        <w:top w:val="none" w:sz="0" w:space="0" w:color="auto"/>
        <w:left w:val="none" w:sz="0" w:space="0" w:color="auto"/>
        <w:bottom w:val="none" w:sz="0" w:space="0" w:color="auto"/>
        <w:right w:val="none" w:sz="0" w:space="0" w:color="auto"/>
      </w:divBdr>
    </w:div>
    <w:div w:id="1571119029">
      <w:bodyDiv w:val="1"/>
      <w:marLeft w:val="0"/>
      <w:marRight w:val="0"/>
      <w:marTop w:val="0"/>
      <w:marBottom w:val="0"/>
      <w:divBdr>
        <w:top w:val="none" w:sz="0" w:space="0" w:color="auto"/>
        <w:left w:val="none" w:sz="0" w:space="0" w:color="auto"/>
        <w:bottom w:val="none" w:sz="0" w:space="0" w:color="auto"/>
        <w:right w:val="none" w:sz="0" w:space="0" w:color="auto"/>
      </w:divBdr>
    </w:div>
    <w:div w:id="1585145245">
      <w:bodyDiv w:val="1"/>
      <w:marLeft w:val="0"/>
      <w:marRight w:val="0"/>
      <w:marTop w:val="0"/>
      <w:marBottom w:val="0"/>
      <w:divBdr>
        <w:top w:val="none" w:sz="0" w:space="0" w:color="auto"/>
        <w:left w:val="none" w:sz="0" w:space="0" w:color="auto"/>
        <w:bottom w:val="none" w:sz="0" w:space="0" w:color="auto"/>
        <w:right w:val="none" w:sz="0" w:space="0" w:color="auto"/>
      </w:divBdr>
    </w:div>
    <w:div w:id="1586576188">
      <w:bodyDiv w:val="1"/>
      <w:marLeft w:val="0"/>
      <w:marRight w:val="0"/>
      <w:marTop w:val="0"/>
      <w:marBottom w:val="0"/>
      <w:divBdr>
        <w:top w:val="none" w:sz="0" w:space="0" w:color="auto"/>
        <w:left w:val="none" w:sz="0" w:space="0" w:color="auto"/>
        <w:bottom w:val="none" w:sz="0" w:space="0" w:color="auto"/>
        <w:right w:val="none" w:sz="0" w:space="0" w:color="auto"/>
      </w:divBdr>
    </w:div>
    <w:div w:id="1612469735">
      <w:bodyDiv w:val="1"/>
      <w:marLeft w:val="0"/>
      <w:marRight w:val="0"/>
      <w:marTop w:val="0"/>
      <w:marBottom w:val="0"/>
      <w:divBdr>
        <w:top w:val="none" w:sz="0" w:space="0" w:color="auto"/>
        <w:left w:val="none" w:sz="0" w:space="0" w:color="auto"/>
        <w:bottom w:val="none" w:sz="0" w:space="0" w:color="auto"/>
        <w:right w:val="none" w:sz="0" w:space="0" w:color="auto"/>
      </w:divBdr>
    </w:div>
    <w:div w:id="1640842825">
      <w:bodyDiv w:val="1"/>
      <w:marLeft w:val="0"/>
      <w:marRight w:val="0"/>
      <w:marTop w:val="0"/>
      <w:marBottom w:val="0"/>
      <w:divBdr>
        <w:top w:val="none" w:sz="0" w:space="0" w:color="auto"/>
        <w:left w:val="none" w:sz="0" w:space="0" w:color="auto"/>
        <w:bottom w:val="none" w:sz="0" w:space="0" w:color="auto"/>
        <w:right w:val="none" w:sz="0" w:space="0" w:color="auto"/>
      </w:divBdr>
    </w:div>
    <w:div w:id="1750618682">
      <w:bodyDiv w:val="1"/>
      <w:marLeft w:val="0"/>
      <w:marRight w:val="0"/>
      <w:marTop w:val="0"/>
      <w:marBottom w:val="0"/>
      <w:divBdr>
        <w:top w:val="none" w:sz="0" w:space="0" w:color="auto"/>
        <w:left w:val="none" w:sz="0" w:space="0" w:color="auto"/>
        <w:bottom w:val="none" w:sz="0" w:space="0" w:color="auto"/>
        <w:right w:val="none" w:sz="0" w:space="0" w:color="auto"/>
      </w:divBdr>
    </w:div>
    <w:div w:id="1754080816">
      <w:bodyDiv w:val="1"/>
      <w:marLeft w:val="0"/>
      <w:marRight w:val="0"/>
      <w:marTop w:val="0"/>
      <w:marBottom w:val="0"/>
      <w:divBdr>
        <w:top w:val="none" w:sz="0" w:space="0" w:color="auto"/>
        <w:left w:val="none" w:sz="0" w:space="0" w:color="auto"/>
        <w:bottom w:val="none" w:sz="0" w:space="0" w:color="auto"/>
        <w:right w:val="none" w:sz="0" w:space="0" w:color="auto"/>
      </w:divBdr>
    </w:div>
    <w:div w:id="1895770270">
      <w:bodyDiv w:val="1"/>
      <w:marLeft w:val="0"/>
      <w:marRight w:val="0"/>
      <w:marTop w:val="0"/>
      <w:marBottom w:val="0"/>
      <w:divBdr>
        <w:top w:val="none" w:sz="0" w:space="0" w:color="auto"/>
        <w:left w:val="none" w:sz="0" w:space="0" w:color="auto"/>
        <w:bottom w:val="none" w:sz="0" w:space="0" w:color="auto"/>
        <w:right w:val="none" w:sz="0" w:space="0" w:color="auto"/>
      </w:divBdr>
      <w:divsChild>
        <w:div w:id="65105854">
          <w:marLeft w:val="360"/>
          <w:marRight w:val="0"/>
          <w:marTop w:val="200"/>
          <w:marBottom w:val="0"/>
          <w:divBdr>
            <w:top w:val="none" w:sz="0" w:space="0" w:color="auto"/>
            <w:left w:val="none" w:sz="0" w:space="0" w:color="auto"/>
            <w:bottom w:val="none" w:sz="0" w:space="0" w:color="auto"/>
            <w:right w:val="none" w:sz="0" w:space="0" w:color="auto"/>
          </w:divBdr>
        </w:div>
        <w:div w:id="205872115">
          <w:marLeft w:val="1080"/>
          <w:marRight w:val="0"/>
          <w:marTop w:val="100"/>
          <w:marBottom w:val="0"/>
          <w:divBdr>
            <w:top w:val="none" w:sz="0" w:space="0" w:color="auto"/>
            <w:left w:val="none" w:sz="0" w:space="0" w:color="auto"/>
            <w:bottom w:val="none" w:sz="0" w:space="0" w:color="auto"/>
            <w:right w:val="none" w:sz="0" w:space="0" w:color="auto"/>
          </w:divBdr>
        </w:div>
        <w:div w:id="477454056">
          <w:marLeft w:val="360"/>
          <w:marRight w:val="0"/>
          <w:marTop w:val="200"/>
          <w:marBottom w:val="0"/>
          <w:divBdr>
            <w:top w:val="none" w:sz="0" w:space="0" w:color="auto"/>
            <w:left w:val="none" w:sz="0" w:space="0" w:color="auto"/>
            <w:bottom w:val="none" w:sz="0" w:space="0" w:color="auto"/>
            <w:right w:val="none" w:sz="0" w:space="0" w:color="auto"/>
          </w:divBdr>
        </w:div>
        <w:div w:id="608975789">
          <w:marLeft w:val="360"/>
          <w:marRight w:val="0"/>
          <w:marTop w:val="200"/>
          <w:marBottom w:val="0"/>
          <w:divBdr>
            <w:top w:val="none" w:sz="0" w:space="0" w:color="auto"/>
            <w:left w:val="none" w:sz="0" w:space="0" w:color="auto"/>
            <w:bottom w:val="none" w:sz="0" w:space="0" w:color="auto"/>
            <w:right w:val="none" w:sz="0" w:space="0" w:color="auto"/>
          </w:divBdr>
        </w:div>
        <w:div w:id="986514554">
          <w:marLeft w:val="360"/>
          <w:marRight w:val="0"/>
          <w:marTop w:val="200"/>
          <w:marBottom w:val="0"/>
          <w:divBdr>
            <w:top w:val="none" w:sz="0" w:space="0" w:color="auto"/>
            <w:left w:val="none" w:sz="0" w:space="0" w:color="auto"/>
            <w:bottom w:val="none" w:sz="0" w:space="0" w:color="auto"/>
            <w:right w:val="none" w:sz="0" w:space="0" w:color="auto"/>
          </w:divBdr>
        </w:div>
        <w:div w:id="1390961138">
          <w:marLeft w:val="1080"/>
          <w:marRight w:val="0"/>
          <w:marTop w:val="100"/>
          <w:marBottom w:val="0"/>
          <w:divBdr>
            <w:top w:val="none" w:sz="0" w:space="0" w:color="auto"/>
            <w:left w:val="none" w:sz="0" w:space="0" w:color="auto"/>
            <w:bottom w:val="none" w:sz="0" w:space="0" w:color="auto"/>
            <w:right w:val="none" w:sz="0" w:space="0" w:color="auto"/>
          </w:divBdr>
        </w:div>
        <w:div w:id="1571499314">
          <w:marLeft w:val="1080"/>
          <w:marRight w:val="0"/>
          <w:marTop w:val="100"/>
          <w:marBottom w:val="0"/>
          <w:divBdr>
            <w:top w:val="none" w:sz="0" w:space="0" w:color="auto"/>
            <w:left w:val="none" w:sz="0" w:space="0" w:color="auto"/>
            <w:bottom w:val="none" w:sz="0" w:space="0" w:color="auto"/>
            <w:right w:val="none" w:sz="0" w:space="0" w:color="auto"/>
          </w:divBdr>
        </w:div>
        <w:div w:id="2026515706">
          <w:marLeft w:val="1080"/>
          <w:marRight w:val="0"/>
          <w:marTop w:val="100"/>
          <w:marBottom w:val="0"/>
          <w:divBdr>
            <w:top w:val="none" w:sz="0" w:space="0" w:color="auto"/>
            <w:left w:val="none" w:sz="0" w:space="0" w:color="auto"/>
            <w:bottom w:val="none" w:sz="0" w:space="0" w:color="auto"/>
            <w:right w:val="none" w:sz="0" w:space="0" w:color="auto"/>
          </w:divBdr>
        </w:div>
      </w:divsChild>
    </w:div>
    <w:div w:id="191419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iabetesjournals.org/clinical/article/42/2/209/154444/Section-10-Cardiovascular-Disease-and-Risk" TargetMode="External"/><Relationship Id="rId7" Type="http://schemas.openxmlformats.org/officeDocument/2006/relationships/settings" Target="settings.xml"/><Relationship Id="rId12" Type="http://schemas.openxmlformats.org/officeDocument/2006/relationships/hyperlink" Target="https://www.dhcs.ca.gov/CalAIM/Documents/DHCS-Medi-Cal-Community-Supports-Supplemental-Fact-Sheet.pdf" TargetMode="External"/><Relationship Id="rId17" Type="http://schemas.openxmlformats.org/officeDocument/2006/relationships/hyperlink" Target="https://diabetesjournals.org/view-large/figure/4736716/dc24S004t1b.ti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iabetesjournals.org/view-large/figure/4736716/dc24S004t1b.tif" TargetMode="External"/><Relationship Id="rId20" Type="http://schemas.openxmlformats.org/officeDocument/2006/relationships/hyperlink" Target="https://geriatrictoolkit.missouri.edu/cog/MoCA-8.3-English-Test-2018-0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iabetesjournals.org/view-large/figure/4736716/dc24S004t1b.ti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ini-cog.com/wp-content/uploads/2022/03/Standardized-English-Mini-Cog-1-19-16-EN_v1-low-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rapeuticinertia.diabetes.org/" TargetMode="External"/><Relationship Id="rId22" Type="http://schemas.openxmlformats.org/officeDocument/2006/relationships/image" Target="media/image4.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iabetesjournals.org/care/article/47/Supplement_1/S244/153944/13-Older-Adults-Standards-of-Care-in-Diabetes-2024" TargetMode="External"/><Relationship Id="rId13" Type="http://schemas.openxmlformats.org/officeDocument/2006/relationships/hyperlink" Target="https://ada.silverchair-cdn.com/ada/content_public/journal/care/issue/47/supplement_1/12/standards-of-care-2024.pdf?Expires=1716050883&amp;Signature=LkRA9RUR~k5mONhjUO6rjmWzujsmrAdzJrFOmNzuIET6u9Iyn5CxnE-rLVGN0znZcvwj~FYbETeacyKkO59C5q2AKPPk8GPwAllbXjzVndfdi0dM7FU~jj1rItiu3z4-T6WiqbS6dCZACom8ByQcUI2yMeFzoyQZT2Dxh9-hcJKFUt~ZTzlCHuxL38UyO2w98yt1PelRz92H7HGjws0nHPyeDlg~Wgg~IbSZqiZa5ooWRWe8EXl1vj-m3yIDEllEnPARaKLGRUwDd1HHmivUzrOjMTiLX7tKWtj4sXV6xtbkz37FgNDqD8GfPYalXvs4bY8CS61uPQJZoV0unk5KuA__&amp;Key-Pair-Id=APKAIE5G5CRDK6RD3PGA" TargetMode="External"/><Relationship Id="rId3" Type="http://schemas.openxmlformats.org/officeDocument/2006/relationships/hyperlink" Target="https://professional.diabetes.org/sites/default/files/media/overcoming_therapeutic_inerita_factsheet_final.pdf" TargetMode="External"/><Relationship Id="rId7" Type="http://schemas.openxmlformats.org/officeDocument/2006/relationships/hyperlink" Target="https://diabetesjournals.org/clinical/article/42/2/209/154444/Section-10-Cardiovascular-Disease-and-Risk" TargetMode="External"/><Relationship Id="rId12" Type="http://schemas.openxmlformats.org/officeDocument/2006/relationships/hyperlink" Target="https://jamanetwork.com/journals/jamainternalmedicine/fullarticle/2717499" TargetMode="External"/><Relationship Id="rId2" Type="http://schemas.openxmlformats.org/officeDocument/2006/relationships/hyperlink" Target="https://www.annfammed.org/content/annalsfm/12/6/573.full.pdf" TargetMode="External"/><Relationship Id="rId1" Type="http://schemas.openxmlformats.org/officeDocument/2006/relationships/hyperlink" Target="https://pubmed.ncbi.nlm.nih.gov/35061006/" TargetMode="External"/><Relationship Id="rId6" Type="http://schemas.openxmlformats.org/officeDocument/2006/relationships/hyperlink" Target="https://diabetesjournals.org/clinical/article/42/2/209/154444/Section-10-Cardiovascular-Disease-and-Risk" TargetMode="External"/><Relationship Id="rId11" Type="http://schemas.openxmlformats.org/officeDocument/2006/relationships/hyperlink" Target="https://diabetesjournals.org/clinical/article/42/2/193/154452/Section-5-Facilitating-Positive-Health-Behaviors?searchresult=1" TargetMode="External"/><Relationship Id="rId5" Type="http://schemas.openxmlformats.org/officeDocument/2006/relationships/hyperlink" Target="https://www.dhcs.ca.gov/formsandpubs/Documents/MMCDAPLsandPolicyLetters/APL2022/APL22-023.pdf" TargetMode="External"/><Relationship Id="rId15" Type="http://schemas.openxmlformats.org/officeDocument/2006/relationships/hyperlink" Target="https://ada.silverchair-cdn.com/ada/content_public/journal/care/issue/47/supplement_1/12/standards-of-care-2024.pdf?Expires=1716050883&amp;Signature=LkRA9RUR~k5mONhjUO6rjmWzujsmrAdzJrFOmNzuIET6u9Iyn5CxnE-rLVGN0znZcvwj~FYbETeacyKkO59C5q2AKPPk8GPwAllbXjzVndfdi0dM7FU~jj1rItiu3z4-T6WiqbS6dCZACom8ByQcUI2yMeFzoyQZT2Dxh9-hcJKFUt~ZTzlCHuxL38UyO2w98yt1PelRz92H7HGjws0nHPyeDlg~Wgg~IbSZqiZa5ooWRWe8EXl1vj-m3yIDEllEnPARaKLGRUwDd1HHmivUzrOjMTiLX7tKWtj4sXV6xtbkz37FgNDqD8GfPYalXvs4bY8CS61uPQJZoV0unk5KuA__&amp;Key-Pair-Id=APKAIE5G5CRDK6RD3PGA" TargetMode="External"/><Relationship Id="rId10" Type="http://schemas.openxmlformats.org/officeDocument/2006/relationships/hyperlink" Target="https://diabetesjournals.org/care/article/47/Supplement_1/S52/153956/4-Comprehensive-Medical-Evaluation-and-Assessment" TargetMode="External"/><Relationship Id="rId4" Type="http://schemas.openxmlformats.org/officeDocument/2006/relationships/hyperlink" Target="https://www.ncbi.nlm.nih.gov/pmc/articles/PMC10519769/" TargetMode="External"/><Relationship Id="rId9" Type="http://schemas.openxmlformats.org/officeDocument/2006/relationships/hyperlink" Target="https://diabetesjournals.org/clinical/article/42/2/189/154455/Section-4-Comprehensive-Medical-Evaluation-and" TargetMode="External"/><Relationship Id="rId14" Type="http://schemas.openxmlformats.org/officeDocument/2006/relationships/hyperlink" Target="https://ada.silverchair-cdn.com/ada/content_public/journal/care/issue/47/supplement_1/12/standards-of-care-2024.pdf?Expires=1716050883&amp;Signature=LkRA9RUR~k5mONhjUO6rjmWzujsmrAdzJrFOmNzuIET6u9Iyn5CxnE-rLVGN0znZcvwj~FYbETeacyKkO59C5q2AKPPk8GPwAllbXjzVndfdi0dM7FU~jj1rItiu3z4-T6WiqbS6dCZACom8ByQcUI2yMeFzoyQZT2Dxh9-hcJKFUt~ZTzlCHuxL38UyO2w98yt1PelRz92H7HGjws0nHPyeDlg~Wgg~IbSZqiZa5ooWRWe8EXl1vj-m3yIDEllEnPARaKLGRUwDd1HHmivUzrOjMTiLX7tKWtj4sXV6xtbkz37FgNDqD8GfPYalXvs4bY8CS61uPQJZoV0unk5KuA__&amp;Key-Pair-Id=APKAIE5G5CRDK6RD3PG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Comagine%20Templates\00%20-%20Word%20Template%20PORTRAIT%202021.04.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A4AD2FE2E25438FE9671274096858" ma:contentTypeVersion="19" ma:contentTypeDescription="Create a new document." ma:contentTypeScope="" ma:versionID="384a3aa04f4fab1dc4f73bd9c9a6964e">
  <xsd:schema xmlns:xsd="http://www.w3.org/2001/XMLSchema" xmlns:xs="http://www.w3.org/2001/XMLSchema" xmlns:p="http://schemas.microsoft.com/office/2006/metadata/properties" xmlns:ns2="6ed87e03-0051-42c6-aaf9-678a06bb9ebe" xmlns:ns3="12dba86b-fa49-4e3b-9354-d9c4f30e4b03" targetNamespace="http://schemas.microsoft.com/office/2006/metadata/properties" ma:root="true" ma:fieldsID="c8ca25a342ec4a742c614cf5a3a88517" ns2:_="" ns3:_="">
    <xsd:import namespace="6ed87e03-0051-42c6-aaf9-678a06bb9ebe"/>
    <xsd:import namespace="12dba86b-fa49-4e3b-9354-d9c4f30e4b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87e03-0051-42c6-aaf9-678a06bb9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ba86b-fa49-4e3b-9354-d9c4f30e4b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6f64eb-277e-43ec-afb3-775945d0cc1c}" ma:internalName="TaxCatchAll" ma:showField="CatchAllData" ma:web="12dba86b-fa49-4e3b-9354-d9c4f30e4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dba86b-fa49-4e3b-9354-d9c4f30e4b03">
      <UserInfo>
        <DisplayName>Sha'ron Hendrickson</DisplayName>
        <AccountId>87</AccountId>
        <AccountType/>
      </UserInfo>
    </SharedWithUsers>
    <lcf76f155ced4ddcb4097134ff3c332f xmlns="6ed87e03-0051-42c6-aaf9-678a06bb9ebe">
      <Terms xmlns="http://schemas.microsoft.com/office/infopath/2007/PartnerControls"/>
    </lcf76f155ced4ddcb4097134ff3c332f>
    <TaxCatchAll xmlns="12dba86b-fa49-4e3b-9354-d9c4f30e4b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E922-3334-473C-841A-3EDF9144C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87e03-0051-42c6-aaf9-678a06bb9ebe"/>
    <ds:schemaRef ds:uri="12dba86b-fa49-4e3b-9354-d9c4f30e4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451B8-8FF8-49AE-B3FA-2D753515DE36}">
  <ds:schemaRefs>
    <ds:schemaRef ds:uri="http://purl.org/dc/dcmitype/"/>
    <ds:schemaRef ds:uri="12dba86b-fa49-4e3b-9354-d9c4f30e4b03"/>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6ed87e03-0051-42c6-aaf9-678a06bb9ebe"/>
    <ds:schemaRef ds:uri="http://purl.org/dc/elements/1.1/"/>
  </ds:schemaRefs>
</ds:datastoreItem>
</file>

<file path=customXml/itemProps3.xml><?xml version="1.0" encoding="utf-8"?>
<ds:datastoreItem xmlns:ds="http://schemas.openxmlformats.org/officeDocument/2006/customXml" ds:itemID="{6FA288DC-89CA-4E06-ACBB-1C637EF4C68A}">
  <ds:schemaRefs>
    <ds:schemaRef ds:uri="http://schemas.microsoft.com/sharepoint/v3/contenttype/forms"/>
  </ds:schemaRefs>
</ds:datastoreItem>
</file>

<file path=customXml/itemProps4.xml><?xml version="1.0" encoding="utf-8"?>
<ds:datastoreItem xmlns:ds="http://schemas.openxmlformats.org/officeDocument/2006/customXml" ds:itemID="{B532FAEC-C5CF-49CC-AF14-46A33030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 Word Template PORTRAIT 2021.04.08.dotx</Template>
  <TotalTime>0</TotalTime>
  <Pages>1</Pages>
  <Words>3415</Words>
  <Characters>19470</Characters>
  <Application>Microsoft Office Word</Application>
  <DocSecurity>4</DocSecurity>
  <Lines>162</Lines>
  <Paragraphs>45</Paragraphs>
  <ScaleCrop>false</ScaleCrop>
  <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Bearden</dc:creator>
  <cp:keywords/>
  <dc:description/>
  <cp:lastModifiedBy>Laura Baker</cp:lastModifiedBy>
  <cp:revision>15</cp:revision>
  <cp:lastPrinted>2021-03-26T23:05:00Z</cp:lastPrinted>
  <dcterms:created xsi:type="dcterms:W3CDTF">2025-04-07T18:49:00Z</dcterms:created>
  <dcterms:modified xsi:type="dcterms:W3CDTF">2025-04-16T14:30:00Z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0x01010030FA4AD2FE2E25438FE9671274096858</vt:lpwstr>
  </property>
  <property fmtid="{D5CDD505-2E9C-101B-9397-08002B2CF9AE}" pid="3" name="_dlc_DocIdItemGuid">
    <vt:lpwstr>ddbc6375-2c2e-4273-a48b-62fa1806e4bb</vt:lpwstr>
  </property>
  <property fmtid="{D5CDD505-2E9C-101B-9397-08002B2CF9AE}" pid="4" name="TaxKeyword">
    <vt:lpwstr/>
  </property>
  <property fmtid="{D5CDD505-2E9C-101B-9397-08002B2CF9AE}" pid="5" name="MediaServiceImageTags">
    <vt:lpwstr/>
  </property>
</Properties>
</file>